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福海社区医院购置安装呼叫系统、医气、负压机房装置</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hint="eastAsia" w:ascii="经典等线简" w:eastAsia="经典等线简"/>
          <w:b/>
          <w:snapToGrid w:val="0"/>
          <w:kern w:val="0"/>
          <w:sz w:val="32"/>
          <w:lang w:eastAsia="zh-CN"/>
        </w:rPr>
      </w:pPr>
      <w:r>
        <w:rPr>
          <w:rFonts w:hint="eastAsia" w:ascii="经典等线简" w:eastAsia="经典等线简"/>
          <w:b/>
          <w:snapToGrid w:val="0"/>
          <w:kern w:val="0"/>
          <w:sz w:val="32"/>
          <w:lang w:eastAsia="zh-CN"/>
        </w:rPr>
        <w:t>（</w:t>
      </w:r>
      <w:r>
        <w:rPr>
          <w:rFonts w:hint="eastAsia" w:ascii="经典等线简" w:eastAsia="经典等线简"/>
          <w:b/>
          <w:snapToGrid w:val="0"/>
          <w:kern w:val="0"/>
          <w:sz w:val="32"/>
          <w:lang w:val="en-US" w:eastAsia="zh-CN"/>
        </w:rPr>
        <w:t>第二次招标</w:t>
      </w:r>
      <w:r>
        <w:rPr>
          <w:rFonts w:hint="eastAsia" w:ascii="经典等线简" w:eastAsia="经典等线简"/>
          <w:b/>
          <w:snapToGrid w:val="0"/>
          <w:kern w:val="0"/>
          <w:sz w:val="32"/>
          <w:lang w:eastAsia="zh-CN"/>
        </w:rPr>
        <w:t>）</w:t>
      </w:r>
    </w:p>
    <w:p w14:paraId="627A83C3">
      <w:pPr>
        <w:adjustRightInd w:val="0"/>
        <w:snapToGrid w:val="0"/>
        <w:spacing w:line="300" w:lineRule="auto"/>
        <w:jc w:val="center"/>
        <w:rPr>
          <w:rFonts w:hint="eastAsia" w:ascii="经典等线简" w:eastAsia="经典等线简"/>
          <w:b/>
          <w:snapToGrid w:val="0"/>
          <w:kern w:val="0"/>
          <w:sz w:val="32"/>
          <w:lang w:eastAsia="zh-CN"/>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SZZZ2025-QA0169</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76005CFA">
      <w:pPr>
        <w:adjustRightInd w:val="0"/>
        <w:snapToGrid w:val="0"/>
        <w:spacing w:line="300" w:lineRule="auto"/>
        <w:jc w:val="center"/>
        <w:rPr>
          <w:rFonts w:ascii="Times New Roman" w:hAnsi="Times New Roman" w:eastAsia="经典等线简"/>
          <w:b/>
          <w:snapToGrid w:val="0"/>
          <w:sz w:val="30"/>
        </w:rPr>
      </w:pPr>
      <w:r>
        <w:rPr>
          <w:rFonts w:eastAsia="经典标宋简"/>
          <w:b/>
          <w:snapToGrid w:val="0"/>
          <w:kern w:val="0"/>
          <w:sz w:val="44"/>
        </w:rPr>
        <w:t xml:space="preserve"> </w:t>
      </w:r>
    </w:p>
    <w:p w14:paraId="2E51165F"/>
    <w:p w14:paraId="7B993714"/>
    <w:p w14:paraId="27468FD6">
      <w:pPr>
        <w:pStyle w:val="29"/>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五</w:t>
      </w:r>
      <w:r>
        <w:rPr>
          <w:rFonts w:hint="eastAsia"/>
          <w:b/>
          <w:snapToGrid w:val="0"/>
          <w:sz w:val="30"/>
        </w:rPr>
        <w:t>年</w:t>
      </w:r>
      <w:r>
        <w:rPr>
          <w:rFonts w:hint="eastAsia"/>
          <w:b/>
          <w:snapToGrid w:val="0"/>
          <w:sz w:val="30"/>
          <w:lang w:val="en-US" w:eastAsia="zh-CN"/>
        </w:rPr>
        <w:t>九</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47</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76</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85</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85</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92</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95</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97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福海社区医院购置安装呼叫系统、医气、负压机房装置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2025</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10</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10</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SZZZ2025-QA0169</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福海社区医院购置安装呼叫系统、医气、负压机房装置</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cs="仿宋" w:asciiTheme="minorEastAsia" w:hAnsiTheme="minorEastAsia" w:eastAsiaTheme="minorEastAsia"/>
          <w:bCs/>
          <w:sz w:val="21"/>
          <w:szCs w:val="21"/>
          <w:lang w:val="en-US" w:eastAsia="zh-CN"/>
        </w:rPr>
        <w:t>30万</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cs="仿宋" w:asciiTheme="minorEastAsia" w:hAnsiTheme="minorEastAsia" w:eastAsiaTheme="minorEastAsia"/>
          <w:bCs/>
          <w:sz w:val="21"/>
          <w:szCs w:val="21"/>
          <w:lang w:val="en-US" w:eastAsia="zh-CN"/>
        </w:rPr>
        <w:t>30万</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或个体工商户</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FF6A1E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）单位负责人为同一人或者存在直接控股、管理关系的不同供应商，不得参加同一合同项下的政府采购活动（须按本项目投标文件格式要求提供《政府采购投标及履约承诺函》加盖投标人公章）；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9</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25</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9</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日14点30分（北京时间）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706EBD1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 xml:space="preserve">名称：深圳市宝安区福永人民医院 </w:t>
      </w:r>
    </w:p>
    <w:p w14:paraId="42CEE47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 xml:space="preserve">地址：深圳市宝安区福永街道德丰路81号 </w:t>
      </w:r>
    </w:p>
    <w:p w14:paraId="3CF9688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联系方式：罗工，0755-27391395-8888</w:t>
      </w:r>
    </w:p>
    <w:p w14:paraId="03A2844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eastAsia="zh-CN"/>
        </w:rPr>
        <w:t>庄工</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eastAsia="zh-CN"/>
        </w:rPr>
        <w:t>庄工</w:t>
      </w:r>
    </w:p>
    <w:p w14:paraId="581CC65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2025</w:t>
      </w:r>
      <w:r>
        <w:rPr>
          <w:rFonts w:ascii="宋体" w:hAnsi="宋体"/>
          <w:snapToGrid w:val="0"/>
          <w:kern w:val="0"/>
          <w:sz w:val="24"/>
        </w:rPr>
        <w:t>年</w:t>
      </w:r>
      <w:r>
        <w:rPr>
          <w:rFonts w:hint="eastAsia" w:ascii="宋体" w:hAnsi="宋体"/>
          <w:snapToGrid w:val="0"/>
          <w:kern w:val="0"/>
          <w:sz w:val="24"/>
          <w:lang w:val="en-US" w:eastAsia="zh-CN"/>
        </w:rPr>
        <w:t>9</w:t>
      </w:r>
      <w:r>
        <w:rPr>
          <w:rFonts w:ascii="宋体" w:hAnsi="宋体"/>
          <w:snapToGrid w:val="0"/>
          <w:kern w:val="0"/>
          <w:sz w:val="24"/>
        </w:rPr>
        <w:t>月</w:t>
      </w:r>
      <w:r>
        <w:rPr>
          <w:rFonts w:hint="eastAsia" w:ascii="宋体" w:hAnsi="宋体"/>
          <w:snapToGrid w:val="0"/>
          <w:kern w:val="0"/>
          <w:sz w:val="24"/>
          <w:lang w:val="en-US" w:eastAsia="zh-CN"/>
        </w:rPr>
        <w:t>25</w:t>
      </w:r>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526D094">
      <w:pPr>
        <w:pStyle w:val="2"/>
      </w:pPr>
      <w:bookmarkStart w:id="2" w:name="_Toc135293321"/>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福海社区医院购置安装呼叫系统、医气、负压机房装置</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C1C0756">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300,000.00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73FA81A1">
      <w:pPr>
        <w:spacing w:line="360" w:lineRule="auto"/>
        <w:rPr>
          <w:rFonts w:hint="eastAsia" w:ascii="宋体" w:hAnsi="宋体"/>
          <w:b/>
          <w:szCs w:val="21"/>
        </w:rPr>
      </w:pPr>
      <w:r>
        <w:rPr>
          <w:rFonts w:hint="eastAsia" w:ascii="宋体" w:hAnsi="宋体"/>
          <w:b/>
          <w:szCs w:val="21"/>
        </w:rPr>
        <w:t>（二）货物</w:t>
      </w:r>
      <w:r>
        <w:rPr>
          <w:rFonts w:hint="eastAsia" w:ascii="宋体" w:hAnsi="宋体" w:eastAsia="宋体" w:cs="Times New Roman"/>
          <w:b/>
          <w:szCs w:val="21"/>
        </w:rPr>
        <w:t>清单</w:t>
      </w:r>
      <w:r>
        <w:rPr>
          <w:rFonts w:hint="eastAsia" w:ascii="宋体" w:hAnsi="宋体"/>
          <w:b/>
          <w:szCs w:val="21"/>
        </w:rPr>
        <w:t>明细</w:t>
      </w:r>
    </w:p>
    <w:tbl>
      <w:tblPr>
        <w:tblStyle w:val="50"/>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3829"/>
        <w:gridCol w:w="1733"/>
        <w:gridCol w:w="1117"/>
        <w:gridCol w:w="1554"/>
      </w:tblGrid>
      <w:tr w14:paraId="38A2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4586A7A6">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序号</w:t>
            </w:r>
          </w:p>
        </w:tc>
        <w:tc>
          <w:tcPr>
            <w:tcW w:w="3829" w:type="dxa"/>
            <w:vAlign w:val="center"/>
          </w:tcPr>
          <w:p w14:paraId="6AD88792">
            <w:pPr>
              <w:spacing w:line="360" w:lineRule="auto"/>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标的名称</w:t>
            </w:r>
          </w:p>
        </w:tc>
        <w:tc>
          <w:tcPr>
            <w:tcW w:w="1733" w:type="dxa"/>
            <w:vAlign w:val="center"/>
          </w:tcPr>
          <w:p w14:paraId="42145D20">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数量</w:t>
            </w:r>
          </w:p>
        </w:tc>
        <w:tc>
          <w:tcPr>
            <w:tcW w:w="1117" w:type="dxa"/>
            <w:vAlign w:val="center"/>
          </w:tcPr>
          <w:p w14:paraId="746CDEAB">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单位</w:t>
            </w:r>
          </w:p>
        </w:tc>
        <w:tc>
          <w:tcPr>
            <w:tcW w:w="1554" w:type="dxa"/>
            <w:vAlign w:val="center"/>
          </w:tcPr>
          <w:p w14:paraId="19AEC92D">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备注</w:t>
            </w:r>
          </w:p>
        </w:tc>
      </w:tr>
      <w:tr w14:paraId="7124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53E4FAE">
            <w:pPr>
              <w:jc w:val="center"/>
              <w:rPr>
                <w:rFonts w:asciiTheme="minorEastAsia" w:hAnsiTheme="minorEastAsia" w:eastAsiaTheme="minorEastAsia"/>
                <w:bCs/>
                <w:szCs w:val="21"/>
              </w:rPr>
            </w:pPr>
            <w:r>
              <w:rPr>
                <w:rFonts w:hint="eastAsia" w:ascii="宋体" w:hAnsi="宋体" w:cs="宋体"/>
                <w:color w:val="000000"/>
              </w:rPr>
              <w:t>1</w:t>
            </w:r>
          </w:p>
        </w:tc>
        <w:tc>
          <w:tcPr>
            <w:tcW w:w="3829" w:type="dxa"/>
            <w:vAlign w:val="center"/>
          </w:tcPr>
          <w:p w14:paraId="1B53D208">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信息交换管理主机</w:t>
            </w:r>
          </w:p>
        </w:tc>
        <w:tc>
          <w:tcPr>
            <w:tcW w:w="1733" w:type="dxa"/>
            <w:vAlign w:val="center"/>
          </w:tcPr>
          <w:p w14:paraId="114E47C0">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23CDE375">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套</w:t>
            </w:r>
          </w:p>
        </w:tc>
        <w:tc>
          <w:tcPr>
            <w:tcW w:w="1554" w:type="dxa"/>
            <w:vAlign w:val="center"/>
          </w:tcPr>
          <w:p w14:paraId="08E9B469">
            <w:pPr>
              <w:spacing w:line="360" w:lineRule="auto"/>
              <w:jc w:val="center"/>
              <w:rPr>
                <w:rFonts w:asciiTheme="minorEastAsia" w:hAnsiTheme="minorEastAsia" w:eastAsiaTheme="minorEastAsia"/>
                <w:bCs/>
                <w:szCs w:val="21"/>
              </w:rPr>
            </w:pPr>
            <w:r>
              <w:rPr>
                <w:rFonts w:hint="eastAsia" w:ascii="宋体" w:hAnsi="宋体"/>
                <w:szCs w:val="21"/>
              </w:rPr>
              <w:t>拒绝进口</w:t>
            </w:r>
          </w:p>
        </w:tc>
      </w:tr>
      <w:tr w14:paraId="5C4F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3F3448A">
            <w:pPr>
              <w:jc w:val="center"/>
              <w:rPr>
                <w:rFonts w:asciiTheme="minorEastAsia" w:hAnsiTheme="minorEastAsia" w:eastAsiaTheme="minorEastAsia"/>
                <w:bCs/>
                <w:szCs w:val="21"/>
              </w:rPr>
            </w:pPr>
            <w:r>
              <w:rPr>
                <w:rFonts w:hint="eastAsia" w:ascii="宋体" w:hAnsi="宋体" w:cs="宋体"/>
                <w:color w:val="000000"/>
              </w:rPr>
              <w:t>2</w:t>
            </w:r>
          </w:p>
        </w:tc>
        <w:tc>
          <w:tcPr>
            <w:tcW w:w="3829" w:type="dxa"/>
            <w:vAlign w:val="center"/>
          </w:tcPr>
          <w:p w14:paraId="180D2E48">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IP网络医护主机</w:t>
            </w:r>
          </w:p>
        </w:tc>
        <w:tc>
          <w:tcPr>
            <w:tcW w:w="1733" w:type="dxa"/>
            <w:vAlign w:val="center"/>
          </w:tcPr>
          <w:p w14:paraId="30105878">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5F0CD172">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套</w:t>
            </w:r>
          </w:p>
        </w:tc>
        <w:tc>
          <w:tcPr>
            <w:tcW w:w="1554" w:type="dxa"/>
            <w:vAlign w:val="center"/>
          </w:tcPr>
          <w:p w14:paraId="79C73359">
            <w:pPr>
              <w:spacing w:line="360" w:lineRule="auto"/>
              <w:jc w:val="center"/>
              <w:rPr>
                <w:rFonts w:asciiTheme="minorEastAsia" w:hAnsiTheme="minorEastAsia" w:eastAsiaTheme="minorEastAsia"/>
                <w:bCs/>
                <w:szCs w:val="21"/>
              </w:rPr>
            </w:pPr>
            <w:r>
              <w:rPr>
                <w:rFonts w:hint="eastAsia" w:ascii="宋体" w:hAnsi="宋体"/>
                <w:szCs w:val="21"/>
              </w:rPr>
              <w:t>拒绝进口</w:t>
            </w:r>
          </w:p>
        </w:tc>
      </w:tr>
      <w:tr w14:paraId="4FB1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367255F0">
            <w:pPr>
              <w:jc w:val="center"/>
              <w:rPr>
                <w:rFonts w:asciiTheme="minorEastAsia" w:hAnsiTheme="minorEastAsia" w:eastAsiaTheme="minorEastAsia"/>
                <w:bCs/>
                <w:szCs w:val="21"/>
              </w:rPr>
            </w:pPr>
            <w:r>
              <w:rPr>
                <w:rFonts w:hint="eastAsia" w:ascii="宋体" w:hAnsi="宋体" w:cs="宋体"/>
                <w:color w:val="000000"/>
              </w:rPr>
              <w:t>3</w:t>
            </w:r>
          </w:p>
        </w:tc>
        <w:tc>
          <w:tcPr>
            <w:tcW w:w="3829" w:type="dxa"/>
            <w:vAlign w:val="center"/>
          </w:tcPr>
          <w:p w14:paraId="044FA580">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床头分机</w:t>
            </w:r>
          </w:p>
        </w:tc>
        <w:tc>
          <w:tcPr>
            <w:tcW w:w="1733" w:type="dxa"/>
            <w:vAlign w:val="center"/>
          </w:tcPr>
          <w:p w14:paraId="5A67C13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59</w:t>
            </w:r>
          </w:p>
        </w:tc>
        <w:tc>
          <w:tcPr>
            <w:tcW w:w="1117" w:type="dxa"/>
            <w:vAlign w:val="center"/>
          </w:tcPr>
          <w:p w14:paraId="0521903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1AD66B17">
            <w:pPr>
              <w:spacing w:line="360" w:lineRule="auto"/>
              <w:jc w:val="center"/>
              <w:rPr>
                <w:rFonts w:asciiTheme="minorEastAsia" w:hAnsiTheme="minorEastAsia" w:eastAsiaTheme="minorEastAsia"/>
                <w:bCs/>
                <w:szCs w:val="21"/>
              </w:rPr>
            </w:pPr>
            <w:r>
              <w:rPr>
                <w:rFonts w:hint="eastAsia" w:ascii="宋体" w:hAnsi="宋体"/>
                <w:szCs w:val="21"/>
              </w:rPr>
              <w:t>拒绝进口</w:t>
            </w:r>
          </w:p>
        </w:tc>
      </w:tr>
      <w:tr w14:paraId="5A76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27B29BD0">
            <w:pPr>
              <w:jc w:val="center"/>
              <w:rPr>
                <w:rFonts w:hint="eastAsia" w:asciiTheme="minorEastAsia" w:hAnsiTheme="minorEastAsia" w:eastAsiaTheme="minorEastAsia"/>
                <w:bCs/>
                <w:szCs w:val="21"/>
              </w:rPr>
            </w:pPr>
            <w:r>
              <w:rPr>
                <w:rFonts w:hint="eastAsia" w:ascii="宋体" w:hAnsi="宋体" w:cs="宋体"/>
                <w:color w:val="000000"/>
              </w:rPr>
              <w:t>4</w:t>
            </w:r>
          </w:p>
        </w:tc>
        <w:tc>
          <w:tcPr>
            <w:tcW w:w="3829" w:type="dxa"/>
            <w:vAlign w:val="center"/>
          </w:tcPr>
          <w:p w14:paraId="6549EC3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门灯</w:t>
            </w:r>
          </w:p>
        </w:tc>
        <w:tc>
          <w:tcPr>
            <w:tcW w:w="1733" w:type="dxa"/>
            <w:vAlign w:val="center"/>
          </w:tcPr>
          <w:p w14:paraId="1F9372D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22</w:t>
            </w:r>
          </w:p>
        </w:tc>
        <w:tc>
          <w:tcPr>
            <w:tcW w:w="1117" w:type="dxa"/>
            <w:vAlign w:val="center"/>
          </w:tcPr>
          <w:p w14:paraId="01FDFCB0">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3E233831">
            <w:pPr>
              <w:spacing w:line="360" w:lineRule="auto"/>
              <w:jc w:val="center"/>
              <w:rPr>
                <w:rFonts w:hint="eastAsia" w:ascii="宋体" w:hAnsi="宋体"/>
                <w:szCs w:val="21"/>
              </w:rPr>
            </w:pPr>
            <w:r>
              <w:rPr>
                <w:rFonts w:hint="eastAsia" w:ascii="宋体" w:hAnsi="宋体"/>
                <w:szCs w:val="21"/>
              </w:rPr>
              <w:t>拒绝进口</w:t>
            </w:r>
          </w:p>
        </w:tc>
      </w:tr>
      <w:tr w14:paraId="19F7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891D9FC">
            <w:pPr>
              <w:jc w:val="center"/>
              <w:rPr>
                <w:rFonts w:hint="eastAsia" w:asciiTheme="minorEastAsia" w:hAnsiTheme="minorEastAsia" w:eastAsiaTheme="minorEastAsia"/>
                <w:bCs/>
                <w:szCs w:val="21"/>
              </w:rPr>
            </w:pPr>
            <w:r>
              <w:rPr>
                <w:rFonts w:hint="eastAsia" w:ascii="宋体" w:hAnsi="宋体" w:cs="宋体"/>
                <w:color w:val="000000"/>
              </w:rPr>
              <w:t>5</w:t>
            </w:r>
          </w:p>
        </w:tc>
        <w:tc>
          <w:tcPr>
            <w:tcW w:w="3829" w:type="dxa"/>
            <w:vAlign w:val="center"/>
          </w:tcPr>
          <w:p w14:paraId="2FC8ADF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门口分机</w:t>
            </w:r>
          </w:p>
        </w:tc>
        <w:tc>
          <w:tcPr>
            <w:tcW w:w="1733" w:type="dxa"/>
            <w:vAlign w:val="center"/>
          </w:tcPr>
          <w:p w14:paraId="362B618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22</w:t>
            </w:r>
          </w:p>
        </w:tc>
        <w:tc>
          <w:tcPr>
            <w:tcW w:w="1117" w:type="dxa"/>
            <w:vAlign w:val="center"/>
          </w:tcPr>
          <w:p w14:paraId="1FC3871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639A5847">
            <w:pPr>
              <w:spacing w:line="360" w:lineRule="auto"/>
              <w:jc w:val="center"/>
              <w:rPr>
                <w:rFonts w:hint="eastAsia" w:ascii="宋体" w:hAnsi="宋体"/>
                <w:szCs w:val="21"/>
              </w:rPr>
            </w:pPr>
            <w:r>
              <w:rPr>
                <w:rFonts w:hint="eastAsia" w:ascii="宋体" w:hAnsi="宋体"/>
                <w:szCs w:val="21"/>
              </w:rPr>
              <w:t>拒绝进口</w:t>
            </w:r>
          </w:p>
        </w:tc>
      </w:tr>
      <w:tr w14:paraId="3AEA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A6DD6A0">
            <w:pPr>
              <w:jc w:val="center"/>
              <w:rPr>
                <w:rFonts w:hint="eastAsia" w:asciiTheme="minorEastAsia" w:hAnsiTheme="minorEastAsia" w:eastAsiaTheme="minorEastAsia"/>
                <w:bCs/>
                <w:szCs w:val="21"/>
              </w:rPr>
            </w:pPr>
            <w:r>
              <w:rPr>
                <w:rFonts w:hint="eastAsia" w:ascii="宋体" w:hAnsi="宋体" w:cs="宋体"/>
                <w:color w:val="000000"/>
              </w:rPr>
              <w:t>6</w:t>
            </w:r>
          </w:p>
        </w:tc>
        <w:tc>
          <w:tcPr>
            <w:tcW w:w="3829" w:type="dxa"/>
            <w:vAlign w:val="center"/>
          </w:tcPr>
          <w:p w14:paraId="38B6CB0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走廊显示屏</w:t>
            </w:r>
          </w:p>
        </w:tc>
        <w:tc>
          <w:tcPr>
            <w:tcW w:w="1733" w:type="dxa"/>
            <w:vAlign w:val="center"/>
          </w:tcPr>
          <w:p w14:paraId="4D3644A3">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2</w:t>
            </w:r>
          </w:p>
        </w:tc>
        <w:tc>
          <w:tcPr>
            <w:tcW w:w="1117" w:type="dxa"/>
            <w:vAlign w:val="center"/>
          </w:tcPr>
          <w:p w14:paraId="475F3F45">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250E4F7F">
            <w:pPr>
              <w:spacing w:line="360" w:lineRule="auto"/>
              <w:jc w:val="center"/>
              <w:rPr>
                <w:rFonts w:hint="eastAsia" w:ascii="宋体" w:hAnsi="宋体"/>
                <w:szCs w:val="21"/>
              </w:rPr>
            </w:pPr>
            <w:r>
              <w:rPr>
                <w:rFonts w:hint="eastAsia" w:ascii="宋体" w:hAnsi="宋体"/>
                <w:szCs w:val="21"/>
              </w:rPr>
              <w:t>拒绝进口</w:t>
            </w:r>
          </w:p>
        </w:tc>
      </w:tr>
      <w:tr w14:paraId="7A1F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04F532A0">
            <w:pPr>
              <w:jc w:val="center"/>
              <w:rPr>
                <w:rFonts w:hint="eastAsia" w:asciiTheme="minorEastAsia" w:hAnsiTheme="minorEastAsia" w:eastAsiaTheme="minorEastAsia"/>
                <w:bCs/>
                <w:szCs w:val="21"/>
              </w:rPr>
            </w:pPr>
            <w:r>
              <w:rPr>
                <w:rFonts w:hint="eastAsia" w:ascii="宋体" w:hAnsi="宋体" w:cs="宋体"/>
                <w:color w:val="000000"/>
              </w:rPr>
              <w:t>7</w:t>
            </w:r>
          </w:p>
        </w:tc>
        <w:tc>
          <w:tcPr>
            <w:tcW w:w="3829" w:type="dxa"/>
            <w:vAlign w:val="center"/>
          </w:tcPr>
          <w:p w14:paraId="2709A82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卫生间分机</w:t>
            </w:r>
          </w:p>
        </w:tc>
        <w:tc>
          <w:tcPr>
            <w:tcW w:w="1733" w:type="dxa"/>
            <w:vAlign w:val="center"/>
          </w:tcPr>
          <w:p w14:paraId="587B661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22</w:t>
            </w:r>
          </w:p>
        </w:tc>
        <w:tc>
          <w:tcPr>
            <w:tcW w:w="1117" w:type="dxa"/>
            <w:vAlign w:val="center"/>
          </w:tcPr>
          <w:p w14:paraId="47D270A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3F6120F0">
            <w:pPr>
              <w:spacing w:line="360" w:lineRule="auto"/>
              <w:jc w:val="center"/>
              <w:rPr>
                <w:rFonts w:hint="eastAsia" w:ascii="宋体" w:hAnsi="宋体"/>
                <w:szCs w:val="21"/>
              </w:rPr>
            </w:pPr>
            <w:r>
              <w:rPr>
                <w:rFonts w:hint="eastAsia" w:ascii="宋体" w:hAnsi="宋体"/>
                <w:szCs w:val="21"/>
              </w:rPr>
              <w:t>拒绝进口</w:t>
            </w:r>
          </w:p>
        </w:tc>
      </w:tr>
      <w:tr w14:paraId="366B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47785DC2">
            <w:pPr>
              <w:jc w:val="center"/>
              <w:rPr>
                <w:rFonts w:hint="eastAsia" w:asciiTheme="minorEastAsia" w:hAnsiTheme="minorEastAsia" w:eastAsiaTheme="minorEastAsia"/>
                <w:bCs/>
                <w:szCs w:val="21"/>
              </w:rPr>
            </w:pPr>
            <w:r>
              <w:rPr>
                <w:rFonts w:hint="eastAsia" w:ascii="宋体" w:hAnsi="宋体" w:cs="宋体"/>
                <w:color w:val="000000"/>
              </w:rPr>
              <w:t>8</w:t>
            </w:r>
          </w:p>
        </w:tc>
        <w:tc>
          <w:tcPr>
            <w:tcW w:w="3829" w:type="dxa"/>
            <w:vAlign w:val="center"/>
          </w:tcPr>
          <w:p w14:paraId="3EE9499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值班（治疗）室分机</w:t>
            </w:r>
          </w:p>
        </w:tc>
        <w:tc>
          <w:tcPr>
            <w:tcW w:w="1733" w:type="dxa"/>
            <w:vAlign w:val="center"/>
          </w:tcPr>
          <w:p w14:paraId="156A00A1">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60AE583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个</w:t>
            </w:r>
          </w:p>
        </w:tc>
        <w:tc>
          <w:tcPr>
            <w:tcW w:w="1554" w:type="dxa"/>
            <w:vAlign w:val="center"/>
          </w:tcPr>
          <w:p w14:paraId="38DCB468">
            <w:pPr>
              <w:spacing w:line="360" w:lineRule="auto"/>
              <w:jc w:val="center"/>
              <w:rPr>
                <w:rFonts w:hint="eastAsia" w:ascii="宋体" w:hAnsi="宋体"/>
                <w:szCs w:val="21"/>
              </w:rPr>
            </w:pPr>
            <w:r>
              <w:rPr>
                <w:rFonts w:hint="eastAsia" w:ascii="宋体" w:hAnsi="宋体"/>
                <w:szCs w:val="21"/>
              </w:rPr>
              <w:t>拒绝进口</w:t>
            </w:r>
          </w:p>
        </w:tc>
      </w:tr>
      <w:tr w14:paraId="4DA9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7773F898">
            <w:pPr>
              <w:jc w:val="center"/>
              <w:rPr>
                <w:rFonts w:hint="eastAsia" w:asciiTheme="minorEastAsia" w:hAnsiTheme="minorEastAsia" w:eastAsiaTheme="minorEastAsia"/>
                <w:bCs/>
                <w:szCs w:val="21"/>
              </w:rPr>
            </w:pPr>
            <w:r>
              <w:rPr>
                <w:rFonts w:hint="eastAsia" w:ascii="宋体" w:hAnsi="宋体" w:cs="宋体"/>
                <w:color w:val="000000"/>
              </w:rPr>
              <w:t>9</w:t>
            </w:r>
          </w:p>
        </w:tc>
        <w:tc>
          <w:tcPr>
            <w:tcW w:w="3829" w:type="dxa"/>
            <w:vAlign w:val="center"/>
          </w:tcPr>
          <w:p w14:paraId="79B9C3E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软件服务</w:t>
            </w:r>
          </w:p>
        </w:tc>
        <w:tc>
          <w:tcPr>
            <w:tcW w:w="1733" w:type="dxa"/>
            <w:vAlign w:val="center"/>
          </w:tcPr>
          <w:p w14:paraId="7FF2696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1</w:t>
            </w:r>
          </w:p>
        </w:tc>
        <w:tc>
          <w:tcPr>
            <w:tcW w:w="1117" w:type="dxa"/>
            <w:vAlign w:val="center"/>
          </w:tcPr>
          <w:p w14:paraId="2FC4511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项</w:t>
            </w:r>
          </w:p>
        </w:tc>
        <w:tc>
          <w:tcPr>
            <w:tcW w:w="1554" w:type="dxa"/>
            <w:vAlign w:val="center"/>
          </w:tcPr>
          <w:p w14:paraId="70D0C901">
            <w:pPr>
              <w:spacing w:line="360" w:lineRule="auto"/>
              <w:jc w:val="center"/>
              <w:rPr>
                <w:rFonts w:hint="eastAsia" w:ascii="宋体" w:hAnsi="宋体"/>
                <w:szCs w:val="21"/>
              </w:rPr>
            </w:pPr>
            <w:r>
              <w:rPr>
                <w:rFonts w:hint="eastAsia" w:ascii="宋体" w:hAnsi="宋体"/>
                <w:szCs w:val="21"/>
              </w:rPr>
              <w:t>拒绝进口</w:t>
            </w:r>
          </w:p>
        </w:tc>
      </w:tr>
      <w:tr w14:paraId="4D3E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2331BCC9">
            <w:pPr>
              <w:jc w:val="center"/>
              <w:rPr>
                <w:rFonts w:hint="eastAsia" w:asciiTheme="minorEastAsia" w:hAnsiTheme="minorEastAsia" w:eastAsiaTheme="minorEastAsia"/>
                <w:bCs/>
                <w:szCs w:val="21"/>
              </w:rPr>
            </w:pPr>
            <w:r>
              <w:rPr>
                <w:rFonts w:hint="eastAsia" w:ascii="宋体" w:hAnsi="宋体" w:eastAsia="宋体" w:cs="宋体"/>
                <w:color w:val="000000"/>
                <w:lang w:val="en-US" w:eastAsia="zh-CN"/>
              </w:rPr>
              <w:t xml:space="preserve"> 10</w:t>
            </w:r>
          </w:p>
        </w:tc>
        <w:tc>
          <w:tcPr>
            <w:tcW w:w="3829" w:type="dxa"/>
            <w:vAlign w:val="center"/>
          </w:tcPr>
          <w:p w14:paraId="7927DE22">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 xml:space="preserve"> 呼叫专用线</w:t>
            </w:r>
          </w:p>
        </w:tc>
        <w:tc>
          <w:tcPr>
            <w:tcW w:w="1733" w:type="dxa"/>
            <w:vAlign w:val="center"/>
          </w:tcPr>
          <w:p w14:paraId="2ED5D74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 xml:space="preserve">650 </w:t>
            </w:r>
          </w:p>
        </w:tc>
        <w:tc>
          <w:tcPr>
            <w:tcW w:w="1117" w:type="dxa"/>
            <w:vAlign w:val="center"/>
          </w:tcPr>
          <w:p w14:paraId="1CE8C38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米</w:t>
            </w:r>
          </w:p>
        </w:tc>
        <w:tc>
          <w:tcPr>
            <w:tcW w:w="1554" w:type="dxa"/>
            <w:vAlign w:val="center"/>
          </w:tcPr>
          <w:p w14:paraId="61978BCC">
            <w:pPr>
              <w:spacing w:line="360" w:lineRule="auto"/>
              <w:jc w:val="center"/>
              <w:rPr>
                <w:rFonts w:hint="eastAsia" w:ascii="宋体" w:hAnsi="宋体"/>
                <w:szCs w:val="21"/>
              </w:rPr>
            </w:pPr>
            <w:r>
              <w:rPr>
                <w:rFonts w:hint="eastAsia" w:ascii="宋体" w:hAnsi="宋体"/>
                <w:szCs w:val="21"/>
              </w:rPr>
              <w:t>拒绝进口</w:t>
            </w:r>
          </w:p>
        </w:tc>
      </w:tr>
      <w:tr w14:paraId="2B83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11835D8">
            <w:pPr>
              <w:jc w:val="center"/>
              <w:rPr>
                <w:rFonts w:hint="eastAsia" w:asciiTheme="minorEastAsia" w:hAnsiTheme="minorEastAsia" w:eastAsiaTheme="minorEastAsia"/>
                <w:bCs/>
                <w:szCs w:val="21"/>
              </w:rPr>
            </w:pPr>
            <w:r>
              <w:rPr>
                <w:rFonts w:hint="eastAsia" w:ascii="宋体" w:hAnsi="宋体" w:eastAsia="宋体" w:cs="宋体"/>
                <w:color w:val="000000"/>
                <w:lang w:val="en-US" w:eastAsia="zh-CN"/>
              </w:rPr>
              <w:t>11</w:t>
            </w:r>
          </w:p>
        </w:tc>
        <w:tc>
          <w:tcPr>
            <w:tcW w:w="3829" w:type="dxa"/>
            <w:vAlign w:val="center"/>
          </w:tcPr>
          <w:p w14:paraId="1DE63C5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线管</w:t>
            </w:r>
          </w:p>
        </w:tc>
        <w:tc>
          <w:tcPr>
            <w:tcW w:w="1733" w:type="dxa"/>
            <w:vAlign w:val="center"/>
          </w:tcPr>
          <w:p w14:paraId="2C6C8C4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450</w:t>
            </w:r>
          </w:p>
        </w:tc>
        <w:tc>
          <w:tcPr>
            <w:tcW w:w="1117" w:type="dxa"/>
            <w:vAlign w:val="center"/>
          </w:tcPr>
          <w:p w14:paraId="2E3FCE80">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米</w:t>
            </w:r>
          </w:p>
        </w:tc>
        <w:tc>
          <w:tcPr>
            <w:tcW w:w="1554" w:type="dxa"/>
            <w:vAlign w:val="center"/>
          </w:tcPr>
          <w:p w14:paraId="551FD303">
            <w:pPr>
              <w:spacing w:line="360" w:lineRule="auto"/>
              <w:jc w:val="center"/>
              <w:rPr>
                <w:rFonts w:hint="eastAsia" w:ascii="宋体" w:hAnsi="宋体"/>
                <w:szCs w:val="21"/>
              </w:rPr>
            </w:pPr>
            <w:r>
              <w:rPr>
                <w:rFonts w:hint="eastAsia" w:ascii="宋体" w:hAnsi="宋体"/>
                <w:szCs w:val="21"/>
              </w:rPr>
              <w:t>拒绝进口</w:t>
            </w:r>
          </w:p>
        </w:tc>
      </w:tr>
      <w:tr w14:paraId="0C2C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AF83360">
            <w:pPr>
              <w:jc w:val="center"/>
              <w:rPr>
                <w:rFonts w:hint="eastAsia" w:asciiTheme="minorEastAsia" w:hAnsiTheme="minorEastAsia" w:eastAsiaTheme="minorEastAsia"/>
                <w:bCs/>
                <w:szCs w:val="21"/>
              </w:rPr>
            </w:pPr>
            <w:r>
              <w:rPr>
                <w:rFonts w:hint="eastAsia" w:ascii="宋体" w:hAnsi="宋体" w:cs="宋体"/>
                <w:color w:val="000000"/>
                <w:lang w:val="en-US" w:eastAsia="zh-CN"/>
              </w:rPr>
              <w:t>12</w:t>
            </w:r>
          </w:p>
        </w:tc>
        <w:tc>
          <w:tcPr>
            <w:tcW w:w="3829" w:type="dxa"/>
            <w:vAlign w:val="center"/>
          </w:tcPr>
          <w:p w14:paraId="67FF196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 xml:space="preserve">氧气全自动切换汇流排5米*5米 </w:t>
            </w:r>
          </w:p>
        </w:tc>
        <w:tc>
          <w:tcPr>
            <w:tcW w:w="1733" w:type="dxa"/>
            <w:vAlign w:val="center"/>
          </w:tcPr>
          <w:p w14:paraId="17D21D6F">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584E9B6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套</w:t>
            </w:r>
          </w:p>
        </w:tc>
        <w:tc>
          <w:tcPr>
            <w:tcW w:w="1554" w:type="dxa"/>
            <w:vAlign w:val="center"/>
          </w:tcPr>
          <w:p w14:paraId="0409AA12">
            <w:pPr>
              <w:spacing w:line="360" w:lineRule="auto"/>
              <w:jc w:val="center"/>
              <w:rPr>
                <w:rFonts w:hint="eastAsia" w:ascii="宋体" w:hAnsi="宋体"/>
                <w:szCs w:val="21"/>
              </w:rPr>
            </w:pPr>
            <w:r>
              <w:rPr>
                <w:rFonts w:hint="eastAsia" w:ascii="宋体" w:hAnsi="宋体"/>
                <w:szCs w:val="21"/>
              </w:rPr>
              <w:t>拒绝进口</w:t>
            </w:r>
          </w:p>
        </w:tc>
      </w:tr>
      <w:tr w14:paraId="2F1C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75A6878">
            <w:pPr>
              <w:jc w:val="center"/>
              <w:rPr>
                <w:rFonts w:hint="eastAsia" w:asciiTheme="minorEastAsia" w:hAnsiTheme="minorEastAsia" w:eastAsiaTheme="minorEastAsia"/>
                <w:bCs/>
                <w:szCs w:val="21"/>
              </w:rPr>
            </w:pPr>
            <w:r>
              <w:rPr>
                <w:rFonts w:hint="eastAsia" w:ascii="宋体" w:hAnsi="宋体" w:cs="宋体"/>
                <w:color w:val="000000"/>
                <w:lang w:val="en-US" w:eastAsia="zh-CN"/>
              </w:rPr>
              <w:t>13</w:t>
            </w:r>
          </w:p>
        </w:tc>
        <w:tc>
          <w:tcPr>
            <w:tcW w:w="3829" w:type="dxa"/>
            <w:vAlign w:val="center"/>
          </w:tcPr>
          <w:p w14:paraId="1605651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氧气流量箱</w:t>
            </w:r>
          </w:p>
        </w:tc>
        <w:tc>
          <w:tcPr>
            <w:tcW w:w="1733" w:type="dxa"/>
            <w:vAlign w:val="center"/>
          </w:tcPr>
          <w:p w14:paraId="1538FA4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2AA088D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套</w:t>
            </w:r>
          </w:p>
        </w:tc>
        <w:tc>
          <w:tcPr>
            <w:tcW w:w="1554" w:type="dxa"/>
            <w:vAlign w:val="center"/>
          </w:tcPr>
          <w:p w14:paraId="7972CF92">
            <w:pPr>
              <w:spacing w:line="360" w:lineRule="auto"/>
              <w:jc w:val="center"/>
              <w:rPr>
                <w:rFonts w:hint="eastAsia" w:ascii="宋体" w:hAnsi="宋体"/>
                <w:szCs w:val="21"/>
              </w:rPr>
            </w:pPr>
            <w:r>
              <w:rPr>
                <w:rFonts w:hint="eastAsia" w:ascii="宋体" w:hAnsi="宋体"/>
                <w:szCs w:val="21"/>
              </w:rPr>
              <w:t>拒绝进口</w:t>
            </w:r>
          </w:p>
        </w:tc>
      </w:tr>
      <w:tr w14:paraId="2A412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D4B6D1C">
            <w:pPr>
              <w:jc w:val="center"/>
              <w:rPr>
                <w:rFonts w:hint="eastAsia" w:asciiTheme="minorEastAsia" w:hAnsiTheme="minorEastAsia" w:eastAsiaTheme="minorEastAsia"/>
                <w:bCs/>
                <w:szCs w:val="21"/>
              </w:rPr>
            </w:pPr>
            <w:r>
              <w:rPr>
                <w:rFonts w:hint="eastAsia" w:ascii="宋体" w:hAnsi="宋体" w:cs="宋体"/>
                <w:color w:val="000000"/>
                <w:lang w:val="en-US" w:eastAsia="zh-CN"/>
              </w:rPr>
              <w:t>14</w:t>
            </w:r>
          </w:p>
        </w:tc>
        <w:tc>
          <w:tcPr>
            <w:tcW w:w="3829" w:type="dxa"/>
            <w:vAlign w:val="center"/>
          </w:tcPr>
          <w:p w14:paraId="20880461">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阀门箱</w:t>
            </w:r>
          </w:p>
        </w:tc>
        <w:tc>
          <w:tcPr>
            <w:tcW w:w="1733" w:type="dxa"/>
            <w:vAlign w:val="center"/>
          </w:tcPr>
          <w:p w14:paraId="5114A396">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3</w:t>
            </w:r>
          </w:p>
        </w:tc>
        <w:tc>
          <w:tcPr>
            <w:tcW w:w="1117" w:type="dxa"/>
            <w:vAlign w:val="center"/>
          </w:tcPr>
          <w:p w14:paraId="4DA64532">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套</w:t>
            </w:r>
          </w:p>
        </w:tc>
        <w:tc>
          <w:tcPr>
            <w:tcW w:w="1554" w:type="dxa"/>
            <w:vAlign w:val="center"/>
          </w:tcPr>
          <w:p w14:paraId="03133A80">
            <w:pPr>
              <w:spacing w:line="360" w:lineRule="auto"/>
              <w:jc w:val="center"/>
              <w:rPr>
                <w:rFonts w:hint="eastAsia" w:ascii="宋体" w:hAnsi="宋体"/>
                <w:szCs w:val="21"/>
              </w:rPr>
            </w:pPr>
            <w:r>
              <w:rPr>
                <w:rFonts w:hint="eastAsia" w:ascii="宋体" w:hAnsi="宋体"/>
                <w:szCs w:val="21"/>
              </w:rPr>
              <w:t>拒绝进口</w:t>
            </w:r>
          </w:p>
        </w:tc>
      </w:tr>
      <w:tr w14:paraId="3267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2009B0F8">
            <w:pPr>
              <w:jc w:val="center"/>
              <w:rPr>
                <w:rFonts w:hint="eastAsia" w:asciiTheme="minorEastAsia" w:hAnsiTheme="minorEastAsia" w:eastAsiaTheme="minorEastAsia"/>
                <w:bCs/>
                <w:szCs w:val="21"/>
              </w:rPr>
            </w:pPr>
            <w:r>
              <w:rPr>
                <w:rFonts w:hint="eastAsia" w:ascii="宋体" w:hAnsi="宋体" w:cs="宋体"/>
                <w:color w:val="000000"/>
                <w:lang w:val="en-US" w:eastAsia="zh-CN"/>
              </w:rPr>
              <w:t>15</w:t>
            </w:r>
          </w:p>
        </w:tc>
        <w:tc>
          <w:tcPr>
            <w:tcW w:w="3829" w:type="dxa"/>
            <w:vAlign w:val="center"/>
          </w:tcPr>
          <w:p w14:paraId="415BEBDF">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报警箱</w:t>
            </w:r>
          </w:p>
        </w:tc>
        <w:tc>
          <w:tcPr>
            <w:tcW w:w="1733" w:type="dxa"/>
            <w:vAlign w:val="center"/>
          </w:tcPr>
          <w:p w14:paraId="4A99F0CF">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3</w:t>
            </w:r>
          </w:p>
        </w:tc>
        <w:tc>
          <w:tcPr>
            <w:tcW w:w="1117" w:type="dxa"/>
            <w:vAlign w:val="center"/>
          </w:tcPr>
          <w:p w14:paraId="1CBC08B4">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套</w:t>
            </w:r>
          </w:p>
        </w:tc>
        <w:tc>
          <w:tcPr>
            <w:tcW w:w="1554" w:type="dxa"/>
            <w:vAlign w:val="center"/>
          </w:tcPr>
          <w:p w14:paraId="09BCCAB3">
            <w:pPr>
              <w:spacing w:line="360" w:lineRule="auto"/>
              <w:jc w:val="center"/>
              <w:rPr>
                <w:rFonts w:hint="eastAsia" w:ascii="宋体" w:hAnsi="宋体"/>
                <w:szCs w:val="21"/>
              </w:rPr>
            </w:pPr>
            <w:r>
              <w:rPr>
                <w:rFonts w:hint="eastAsia" w:ascii="宋体" w:hAnsi="宋体"/>
                <w:szCs w:val="21"/>
              </w:rPr>
              <w:t>拒绝进口</w:t>
            </w:r>
          </w:p>
        </w:tc>
      </w:tr>
      <w:tr w14:paraId="7A6D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B1E84E5">
            <w:pPr>
              <w:jc w:val="center"/>
              <w:rPr>
                <w:rFonts w:hint="eastAsia" w:asciiTheme="minorEastAsia" w:hAnsiTheme="minorEastAsia" w:eastAsiaTheme="minorEastAsia"/>
                <w:bCs/>
                <w:szCs w:val="21"/>
              </w:rPr>
            </w:pPr>
            <w:r>
              <w:rPr>
                <w:rFonts w:hint="eastAsia" w:ascii="宋体" w:hAnsi="宋体" w:cs="宋体"/>
                <w:color w:val="000000"/>
                <w:lang w:val="en-US" w:eastAsia="zh-CN"/>
              </w:rPr>
              <w:t>16</w:t>
            </w:r>
          </w:p>
        </w:tc>
        <w:tc>
          <w:tcPr>
            <w:tcW w:w="3829" w:type="dxa"/>
            <w:vAlign w:val="center"/>
          </w:tcPr>
          <w:p w14:paraId="0821FD28">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负压泵</w:t>
            </w:r>
          </w:p>
        </w:tc>
        <w:tc>
          <w:tcPr>
            <w:tcW w:w="1733" w:type="dxa"/>
            <w:vAlign w:val="center"/>
          </w:tcPr>
          <w:p w14:paraId="7E28C6CE">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2</w:t>
            </w:r>
          </w:p>
        </w:tc>
        <w:tc>
          <w:tcPr>
            <w:tcW w:w="1117" w:type="dxa"/>
            <w:vAlign w:val="center"/>
          </w:tcPr>
          <w:p w14:paraId="5BDBF1E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台</w:t>
            </w:r>
          </w:p>
        </w:tc>
        <w:tc>
          <w:tcPr>
            <w:tcW w:w="1554" w:type="dxa"/>
            <w:vAlign w:val="center"/>
          </w:tcPr>
          <w:p w14:paraId="2047B86C">
            <w:pPr>
              <w:spacing w:line="360" w:lineRule="auto"/>
              <w:jc w:val="center"/>
              <w:rPr>
                <w:rFonts w:hint="eastAsia" w:ascii="宋体" w:hAnsi="宋体"/>
                <w:szCs w:val="21"/>
              </w:rPr>
            </w:pPr>
            <w:r>
              <w:rPr>
                <w:rFonts w:hint="eastAsia" w:ascii="宋体" w:hAnsi="宋体"/>
                <w:szCs w:val="21"/>
              </w:rPr>
              <w:t>拒绝进口</w:t>
            </w:r>
          </w:p>
        </w:tc>
      </w:tr>
      <w:tr w14:paraId="2AA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01CB59B">
            <w:pPr>
              <w:jc w:val="center"/>
              <w:rPr>
                <w:rFonts w:hint="eastAsia" w:asciiTheme="minorEastAsia" w:hAnsiTheme="minorEastAsia" w:eastAsiaTheme="minorEastAsia"/>
                <w:bCs/>
                <w:szCs w:val="21"/>
              </w:rPr>
            </w:pPr>
            <w:r>
              <w:rPr>
                <w:rFonts w:hint="eastAsia" w:ascii="宋体" w:hAnsi="宋体" w:cs="宋体"/>
                <w:color w:val="000000"/>
                <w:lang w:val="en-US" w:eastAsia="zh-CN"/>
              </w:rPr>
              <w:t>17</w:t>
            </w:r>
          </w:p>
        </w:tc>
        <w:tc>
          <w:tcPr>
            <w:tcW w:w="3829" w:type="dxa"/>
            <w:vAlign w:val="center"/>
          </w:tcPr>
          <w:p w14:paraId="197C650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真空罐</w:t>
            </w:r>
          </w:p>
        </w:tc>
        <w:tc>
          <w:tcPr>
            <w:tcW w:w="1733" w:type="dxa"/>
            <w:vAlign w:val="center"/>
          </w:tcPr>
          <w:p w14:paraId="3DCF25DD">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0036AB5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套</w:t>
            </w:r>
          </w:p>
        </w:tc>
        <w:tc>
          <w:tcPr>
            <w:tcW w:w="1554" w:type="dxa"/>
            <w:vAlign w:val="center"/>
          </w:tcPr>
          <w:p w14:paraId="1D599542">
            <w:pPr>
              <w:spacing w:line="360" w:lineRule="auto"/>
              <w:jc w:val="center"/>
              <w:rPr>
                <w:rFonts w:hint="eastAsia" w:ascii="宋体" w:hAnsi="宋体"/>
                <w:szCs w:val="21"/>
              </w:rPr>
            </w:pPr>
            <w:r>
              <w:rPr>
                <w:rFonts w:hint="eastAsia" w:ascii="宋体" w:hAnsi="宋体"/>
                <w:szCs w:val="21"/>
              </w:rPr>
              <w:t>拒绝进口</w:t>
            </w:r>
          </w:p>
        </w:tc>
      </w:tr>
      <w:tr w14:paraId="0797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3B5CF68A">
            <w:pPr>
              <w:jc w:val="center"/>
              <w:rPr>
                <w:rFonts w:hint="eastAsia" w:asciiTheme="minorEastAsia" w:hAnsiTheme="minorEastAsia" w:eastAsiaTheme="minorEastAsia"/>
                <w:bCs/>
                <w:szCs w:val="21"/>
              </w:rPr>
            </w:pPr>
            <w:r>
              <w:rPr>
                <w:rFonts w:hint="eastAsia" w:ascii="宋体" w:hAnsi="宋体" w:cs="宋体"/>
                <w:color w:val="000000"/>
                <w:lang w:val="en-US" w:eastAsia="zh-CN"/>
              </w:rPr>
              <w:t>18</w:t>
            </w:r>
          </w:p>
        </w:tc>
        <w:tc>
          <w:tcPr>
            <w:tcW w:w="3829" w:type="dxa"/>
            <w:vAlign w:val="center"/>
          </w:tcPr>
          <w:p w14:paraId="4241C499">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细</w:t>
            </w:r>
            <w:r>
              <w:rPr>
                <w:rFonts w:hint="eastAsia" w:cs="Times New Roman" w:asciiTheme="minorEastAsia" w:hAnsiTheme="minorEastAsia" w:eastAsiaTheme="minorEastAsia"/>
                <w:bCs/>
                <w:szCs w:val="21"/>
                <w:lang w:val="en-US" w:eastAsia="zh-CN"/>
              </w:rPr>
              <w:t>菌过滤器</w:t>
            </w:r>
          </w:p>
        </w:tc>
        <w:tc>
          <w:tcPr>
            <w:tcW w:w="1733" w:type="dxa"/>
            <w:vAlign w:val="center"/>
          </w:tcPr>
          <w:p w14:paraId="2E543B31">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2ACA1188">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件</w:t>
            </w:r>
          </w:p>
        </w:tc>
        <w:tc>
          <w:tcPr>
            <w:tcW w:w="1554" w:type="dxa"/>
            <w:vAlign w:val="center"/>
          </w:tcPr>
          <w:p w14:paraId="7D1AB64F">
            <w:pPr>
              <w:spacing w:line="360" w:lineRule="auto"/>
              <w:jc w:val="center"/>
              <w:rPr>
                <w:rFonts w:hint="eastAsia" w:ascii="宋体" w:hAnsi="宋体"/>
                <w:szCs w:val="21"/>
              </w:rPr>
            </w:pPr>
            <w:r>
              <w:rPr>
                <w:rFonts w:hint="eastAsia" w:ascii="宋体" w:hAnsi="宋体"/>
                <w:szCs w:val="21"/>
              </w:rPr>
              <w:t>拒绝进口</w:t>
            </w:r>
          </w:p>
        </w:tc>
      </w:tr>
      <w:tr w14:paraId="0F4F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05F4EA09">
            <w:pPr>
              <w:jc w:val="center"/>
              <w:rPr>
                <w:rFonts w:hint="eastAsia" w:asciiTheme="minorEastAsia" w:hAnsiTheme="minorEastAsia" w:eastAsiaTheme="minorEastAsia"/>
                <w:bCs/>
                <w:szCs w:val="21"/>
              </w:rPr>
            </w:pPr>
            <w:r>
              <w:rPr>
                <w:rFonts w:hint="eastAsia" w:ascii="宋体" w:hAnsi="宋体" w:cs="宋体"/>
                <w:color w:val="000000"/>
                <w:lang w:val="en-US" w:eastAsia="zh-CN"/>
              </w:rPr>
              <w:t>19</w:t>
            </w:r>
          </w:p>
        </w:tc>
        <w:tc>
          <w:tcPr>
            <w:tcW w:w="3829" w:type="dxa"/>
            <w:vAlign w:val="center"/>
          </w:tcPr>
          <w:p w14:paraId="7CF26F5C">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中</w:t>
            </w:r>
            <w:r>
              <w:rPr>
                <w:rFonts w:hint="eastAsia" w:cs="Times New Roman" w:asciiTheme="minorEastAsia" w:hAnsiTheme="minorEastAsia" w:eastAsiaTheme="minorEastAsia"/>
                <w:bCs/>
                <w:szCs w:val="21"/>
                <w:lang w:val="en-US" w:eastAsia="zh-CN"/>
              </w:rPr>
              <w:t>央控制柜</w:t>
            </w:r>
          </w:p>
        </w:tc>
        <w:tc>
          <w:tcPr>
            <w:tcW w:w="1733" w:type="dxa"/>
            <w:vAlign w:val="center"/>
          </w:tcPr>
          <w:p w14:paraId="5E4549D1">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292D34E6">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套</w:t>
            </w:r>
          </w:p>
        </w:tc>
        <w:tc>
          <w:tcPr>
            <w:tcW w:w="1554" w:type="dxa"/>
            <w:vAlign w:val="center"/>
          </w:tcPr>
          <w:p w14:paraId="31B02B94">
            <w:pPr>
              <w:spacing w:line="360" w:lineRule="auto"/>
              <w:jc w:val="center"/>
              <w:rPr>
                <w:rFonts w:hint="eastAsia" w:ascii="宋体" w:hAnsi="宋体"/>
                <w:szCs w:val="21"/>
              </w:rPr>
            </w:pPr>
            <w:r>
              <w:rPr>
                <w:rFonts w:hint="eastAsia" w:ascii="宋体" w:hAnsi="宋体"/>
                <w:szCs w:val="21"/>
              </w:rPr>
              <w:t>拒绝进口</w:t>
            </w:r>
          </w:p>
        </w:tc>
      </w:tr>
      <w:tr w14:paraId="6E39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3CA6FD14">
            <w:pPr>
              <w:jc w:val="center"/>
              <w:rPr>
                <w:rFonts w:hint="eastAsia" w:asciiTheme="minorEastAsia" w:hAnsiTheme="minorEastAsia" w:eastAsiaTheme="minorEastAsia"/>
                <w:bCs/>
                <w:szCs w:val="21"/>
              </w:rPr>
            </w:pPr>
            <w:r>
              <w:rPr>
                <w:rFonts w:hint="eastAsia" w:ascii="宋体" w:hAnsi="宋体" w:cs="宋体"/>
                <w:color w:val="000000"/>
                <w:lang w:val="en-US" w:eastAsia="zh-CN"/>
              </w:rPr>
              <w:t>20</w:t>
            </w:r>
          </w:p>
        </w:tc>
        <w:tc>
          <w:tcPr>
            <w:tcW w:w="3829" w:type="dxa"/>
            <w:vAlign w:val="center"/>
          </w:tcPr>
          <w:p w14:paraId="7E42B21F">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真空排气灭菌装置</w:t>
            </w:r>
          </w:p>
        </w:tc>
        <w:tc>
          <w:tcPr>
            <w:tcW w:w="1733" w:type="dxa"/>
            <w:vAlign w:val="center"/>
          </w:tcPr>
          <w:p w14:paraId="73663C31">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65D02193">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套</w:t>
            </w:r>
          </w:p>
        </w:tc>
        <w:tc>
          <w:tcPr>
            <w:tcW w:w="1554" w:type="dxa"/>
            <w:vAlign w:val="center"/>
          </w:tcPr>
          <w:p w14:paraId="33B5A2E5">
            <w:pPr>
              <w:spacing w:line="360" w:lineRule="auto"/>
              <w:jc w:val="center"/>
              <w:rPr>
                <w:rFonts w:hint="eastAsia" w:ascii="宋体" w:hAnsi="宋体"/>
                <w:szCs w:val="21"/>
              </w:rPr>
            </w:pPr>
            <w:r>
              <w:rPr>
                <w:rFonts w:hint="eastAsia" w:ascii="宋体" w:hAnsi="宋体"/>
                <w:szCs w:val="21"/>
              </w:rPr>
              <w:t>拒绝进口</w:t>
            </w:r>
          </w:p>
        </w:tc>
      </w:tr>
      <w:tr w14:paraId="007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3B2A3A4">
            <w:pPr>
              <w:jc w:val="center"/>
              <w:rPr>
                <w:rFonts w:hint="eastAsia" w:asciiTheme="minorEastAsia" w:hAnsiTheme="minorEastAsia" w:eastAsiaTheme="minorEastAsia"/>
                <w:bCs/>
                <w:szCs w:val="21"/>
              </w:rPr>
            </w:pPr>
            <w:r>
              <w:rPr>
                <w:rFonts w:hint="eastAsia" w:ascii="宋体" w:hAnsi="宋体" w:cs="宋体"/>
                <w:color w:val="000000"/>
                <w:lang w:val="en-US" w:eastAsia="zh-CN"/>
              </w:rPr>
              <w:t>21</w:t>
            </w:r>
          </w:p>
        </w:tc>
        <w:tc>
          <w:tcPr>
            <w:tcW w:w="3829" w:type="dxa"/>
            <w:vAlign w:val="center"/>
          </w:tcPr>
          <w:p w14:paraId="7210DE06">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吸气管路及钣金底架</w:t>
            </w:r>
          </w:p>
        </w:tc>
        <w:tc>
          <w:tcPr>
            <w:tcW w:w="1733" w:type="dxa"/>
            <w:vAlign w:val="center"/>
          </w:tcPr>
          <w:p w14:paraId="6AE5039A">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val="en-US" w:eastAsia="zh-CN"/>
              </w:rPr>
              <w:t>1</w:t>
            </w:r>
          </w:p>
        </w:tc>
        <w:tc>
          <w:tcPr>
            <w:tcW w:w="1117" w:type="dxa"/>
            <w:vAlign w:val="center"/>
          </w:tcPr>
          <w:p w14:paraId="557547F7">
            <w:pPr>
              <w:spacing w:line="360" w:lineRule="auto"/>
              <w:jc w:val="center"/>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lang w:eastAsia="zh-CN"/>
              </w:rPr>
              <w:t>套</w:t>
            </w:r>
          </w:p>
        </w:tc>
        <w:tc>
          <w:tcPr>
            <w:tcW w:w="1554" w:type="dxa"/>
            <w:vAlign w:val="center"/>
          </w:tcPr>
          <w:p w14:paraId="685BE0D1">
            <w:pPr>
              <w:spacing w:line="360" w:lineRule="auto"/>
              <w:jc w:val="center"/>
              <w:rPr>
                <w:rFonts w:hint="eastAsia" w:ascii="宋体" w:hAnsi="宋体"/>
                <w:szCs w:val="21"/>
              </w:rPr>
            </w:pPr>
            <w:r>
              <w:rPr>
                <w:rFonts w:hint="eastAsia" w:ascii="宋体" w:hAnsi="宋体"/>
                <w:szCs w:val="21"/>
              </w:rPr>
              <w:t>拒绝进口</w:t>
            </w:r>
          </w:p>
        </w:tc>
      </w:tr>
    </w:tbl>
    <w:p w14:paraId="11631D1D">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w:t>
      </w:r>
      <w:r>
        <w:rPr>
          <w:rFonts w:hint="eastAsia" w:ascii="宋体" w:hAnsi="宋体"/>
          <w:b/>
          <w:szCs w:val="21"/>
          <w:highlight w:val="yellow"/>
          <w:u w:val="single"/>
        </w:rPr>
        <w:t>信息交换管理主机</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3341AEC1">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cs="宋体"/>
          <w:b/>
          <w:bCs/>
          <w:sz w:val="21"/>
          <w:szCs w:val="21"/>
          <w:lang w:val="en-US" w:eastAsia="zh-CN"/>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w:t>
      </w:r>
    </w:p>
    <w:tbl>
      <w:tblPr>
        <w:tblStyle w:val="5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5580"/>
      </w:tblGrid>
      <w:tr w14:paraId="3776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blHeader/>
          <w:jc w:val="center"/>
        </w:trPr>
        <w:tc>
          <w:tcPr>
            <w:tcW w:w="900" w:type="dxa"/>
            <w:vAlign w:val="center"/>
          </w:tcPr>
          <w:p w14:paraId="42F39844">
            <w:pPr>
              <w:jc w:val="center"/>
              <w:rPr>
                <w:szCs w:val="21"/>
              </w:rPr>
            </w:pPr>
            <w:r>
              <w:rPr>
                <w:rFonts w:hint="eastAsia"/>
                <w:szCs w:val="21"/>
              </w:rPr>
              <w:t>序号</w:t>
            </w:r>
          </w:p>
        </w:tc>
        <w:tc>
          <w:tcPr>
            <w:tcW w:w="1980" w:type="dxa"/>
            <w:vAlign w:val="center"/>
          </w:tcPr>
          <w:p w14:paraId="5D76F824">
            <w:pPr>
              <w:widowControl/>
              <w:jc w:val="center"/>
              <w:rPr>
                <w:szCs w:val="21"/>
              </w:rPr>
            </w:pPr>
            <w:r>
              <w:rPr>
                <w:rFonts w:hint="eastAsia"/>
                <w:szCs w:val="21"/>
              </w:rPr>
              <w:t>货物名称</w:t>
            </w:r>
          </w:p>
        </w:tc>
        <w:tc>
          <w:tcPr>
            <w:tcW w:w="5580" w:type="dxa"/>
            <w:vAlign w:val="center"/>
          </w:tcPr>
          <w:p w14:paraId="618CE203">
            <w:pPr>
              <w:jc w:val="center"/>
              <w:rPr>
                <w:szCs w:val="21"/>
              </w:rPr>
            </w:pPr>
            <w:r>
              <w:rPr>
                <w:rFonts w:hint="eastAsia"/>
                <w:szCs w:val="21"/>
              </w:rPr>
              <w:t>招标技术参数要求</w:t>
            </w:r>
          </w:p>
        </w:tc>
      </w:tr>
      <w:tr w14:paraId="3530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restart"/>
            <w:vAlign w:val="center"/>
          </w:tcPr>
          <w:p w14:paraId="7C2A9DCA">
            <w:pPr>
              <w:jc w:val="center"/>
              <w:rPr>
                <w:b/>
                <w:szCs w:val="21"/>
              </w:rPr>
            </w:pPr>
            <w:r>
              <w:rPr>
                <w:rFonts w:hint="eastAsia"/>
                <w:b/>
                <w:szCs w:val="21"/>
              </w:rPr>
              <w:t>1</w:t>
            </w:r>
          </w:p>
        </w:tc>
        <w:tc>
          <w:tcPr>
            <w:tcW w:w="1980" w:type="dxa"/>
            <w:vMerge w:val="restart"/>
            <w:vAlign w:val="center"/>
          </w:tcPr>
          <w:p w14:paraId="7E934BD1">
            <w:pPr>
              <w:spacing w:after="60"/>
              <w:ind w:firstLine="120" w:firstLineChars="50"/>
              <w:jc w:val="center"/>
              <w:rPr>
                <w:b/>
                <w:szCs w:val="21"/>
              </w:rPr>
            </w:pPr>
            <w:r>
              <w:rPr>
                <w:rFonts w:hint="eastAsia" w:ascii="宋体" w:hAnsi="宋体" w:cs="System"/>
                <w:b/>
                <w:kern w:val="0"/>
                <w:sz w:val="24"/>
              </w:rPr>
              <w:t>信息交换管理主机</w:t>
            </w:r>
          </w:p>
        </w:tc>
        <w:tc>
          <w:tcPr>
            <w:tcW w:w="5580" w:type="dxa"/>
          </w:tcPr>
          <w:p w14:paraId="432BAF6F">
            <w:pPr>
              <w:numPr>
                <w:ilvl w:val="0"/>
                <w:numId w:val="6"/>
              </w:numPr>
              <w:spacing w:after="60"/>
              <w:rPr>
                <w:rFonts w:hint="eastAsia"/>
              </w:rPr>
            </w:pPr>
            <w:r>
              <w:rPr>
                <w:rFonts w:hint="eastAsia"/>
              </w:rPr>
              <w:t>两线制系统电源集中控制中心</w:t>
            </w:r>
          </w:p>
        </w:tc>
      </w:tr>
      <w:tr w14:paraId="024E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14:paraId="3A8B27B9">
            <w:pPr>
              <w:jc w:val="center"/>
              <w:rPr>
                <w:b/>
                <w:szCs w:val="21"/>
              </w:rPr>
            </w:pPr>
          </w:p>
        </w:tc>
        <w:tc>
          <w:tcPr>
            <w:tcW w:w="1980" w:type="dxa"/>
            <w:vMerge w:val="continue"/>
          </w:tcPr>
          <w:p w14:paraId="47240151">
            <w:pPr>
              <w:rPr>
                <w:b/>
                <w:szCs w:val="21"/>
              </w:rPr>
            </w:pPr>
          </w:p>
        </w:tc>
        <w:tc>
          <w:tcPr>
            <w:tcW w:w="5580" w:type="dxa"/>
          </w:tcPr>
          <w:p w14:paraId="55BC0011">
            <w:pPr>
              <w:numPr>
                <w:ilvl w:val="0"/>
                <w:numId w:val="7"/>
              </w:numPr>
              <w:spacing w:after="60"/>
              <w:rPr>
                <w:rFonts w:hint="eastAsia"/>
              </w:rPr>
            </w:pPr>
            <w:r>
              <w:rPr>
                <w:rFonts w:hint="eastAsia"/>
              </w:rPr>
              <w:t>语音通话效果</w:t>
            </w:r>
            <w:r>
              <w:rPr>
                <w:rFonts w:hint="eastAsia"/>
                <w:lang w:val="en-US" w:eastAsia="zh-CN"/>
              </w:rPr>
              <w:t>良好</w:t>
            </w:r>
          </w:p>
        </w:tc>
      </w:tr>
      <w:tr w14:paraId="7902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51A677E6">
            <w:pPr>
              <w:jc w:val="center"/>
              <w:rPr>
                <w:b/>
                <w:szCs w:val="21"/>
              </w:rPr>
            </w:pPr>
          </w:p>
        </w:tc>
        <w:tc>
          <w:tcPr>
            <w:tcW w:w="1980" w:type="dxa"/>
            <w:vMerge w:val="continue"/>
          </w:tcPr>
          <w:p w14:paraId="260224C2">
            <w:pPr>
              <w:rPr>
                <w:b/>
                <w:szCs w:val="21"/>
              </w:rPr>
            </w:pPr>
          </w:p>
        </w:tc>
        <w:tc>
          <w:tcPr>
            <w:tcW w:w="5580" w:type="dxa"/>
          </w:tcPr>
          <w:p w14:paraId="44495F4C">
            <w:pPr>
              <w:numPr>
                <w:ilvl w:val="0"/>
                <w:numId w:val="8"/>
              </w:numPr>
              <w:spacing w:after="60"/>
              <w:rPr>
                <w:rFonts w:hint="eastAsia"/>
              </w:rPr>
            </w:pPr>
            <w:r>
              <w:rPr>
                <w:rFonts w:hint="eastAsia"/>
              </w:rPr>
              <w:t>支持扩展外部扬声器</w:t>
            </w:r>
          </w:p>
        </w:tc>
      </w:tr>
      <w:tr w14:paraId="71F7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14:paraId="68682EFC"/>
        </w:tc>
        <w:tc>
          <w:tcPr>
            <w:tcW w:w="1980" w:type="dxa"/>
            <w:vMerge w:val="continue"/>
          </w:tcPr>
          <w:p w14:paraId="6FF7B6A8"/>
        </w:tc>
        <w:tc>
          <w:tcPr>
            <w:tcW w:w="5580" w:type="dxa"/>
          </w:tcPr>
          <w:p w14:paraId="2CC4CB8A">
            <w:pPr>
              <w:numPr>
                <w:ilvl w:val="0"/>
                <w:numId w:val="9"/>
              </w:numPr>
              <w:spacing w:after="60"/>
              <w:rPr>
                <w:rFonts w:hint="eastAsia"/>
              </w:rPr>
            </w:pPr>
            <w:r>
              <w:rPr>
                <w:rFonts w:hint="eastAsia"/>
              </w:rPr>
              <w:t>支持扩展通用电话机</w:t>
            </w:r>
          </w:p>
        </w:tc>
      </w:tr>
      <w:tr w14:paraId="023A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4309C98E">
            <w:pPr>
              <w:rPr>
                <w:rFonts w:hint="eastAsia"/>
                <w:b/>
                <w:szCs w:val="21"/>
              </w:rPr>
            </w:pPr>
          </w:p>
        </w:tc>
        <w:tc>
          <w:tcPr>
            <w:tcW w:w="1980" w:type="dxa"/>
            <w:vMerge w:val="continue"/>
          </w:tcPr>
          <w:p w14:paraId="4E56CA95">
            <w:pPr>
              <w:rPr>
                <w:rFonts w:hint="eastAsia"/>
                <w:b/>
                <w:szCs w:val="21"/>
              </w:rPr>
            </w:pPr>
          </w:p>
        </w:tc>
        <w:tc>
          <w:tcPr>
            <w:tcW w:w="5580" w:type="dxa"/>
          </w:tcPr>
          <w:p w14:paraId="0EA35722">
            <w:pPr>
              <w:numPr>
                <w:ilvl w:val="0"/>
                <w:numId w:val="10"/>
              </w:numPr>
              <w:spacing w:after="60"/>
              <w:rPr>
                <w:rFonts w:hint="eastAsia"/>
              </w:rPr>
            </w:pPr>
            <w:r>
              <w:rPr>
                <w:rFonts w:hint="eastAsia"/>
              </w:rPr>
              <w:t>具备呼叫对讲</w:t>
            </w:r>
            <w:r>
              <w:rPr>
                <w:rFonts w:hint="eastAsia"/>
                <w:lang w:val="en-US" w:eastAsia="zh-CN"/>
              </w:rPr>
              <w:t>及</w:t>
            </w:r>
            <w:r>
              <w:rPr>
                <w:rFonts w:hint="eastAsia"/>
              </w:rPr>
              <w:t>来电显示功能</w:t>
            </w:r>
          </w:p>
        </w:tc>
      </w:tr>
      <w:tr w14:paraId="20C6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57D86076">
            <w:pPr>
              <w:rPr>
                <w:rFonts w:hint="eastAsia"/>
                <w:b/>
                <w:szCs w:val="21"/>
              </w:rPr>
            </w:pPr>
          </w:p>
        </w:tc>
        <w:tc>
          <w:tcPr>
            <w:tcW w:w="1980" w:type="dxa"/>
            <w:vMerge w:val="continue"/>
          </w:tcPr>
          <w:p w14:paraId="788E1639">
            <w:pPr>
              <w:rPr>
                <w:rFonts w:hint="eastAsia"/>
                <w:b/>
                <w:szCs w:val="21"/>
              </w:rPr>
            </w:pPr>
          </w:p>
        </w:tc>
        <w:tc>
          <w:tcPr>
            <w:tcW w:w="5580" w:type="dxa"/>
          </w:tcPr>
          <w:p w14:paraId="1124D910">
            <w:pPr>
              <w:numPr>
                <w:ilvl w:val="0"/>
                <w:numId w:val="11"/>
              </w:numPr>
              <w:spacing w:after="60"/>
              <w:rPr>
                <w:rFonts w:hint="eastAsia"/>
                <w:highlight w:val="none"/>
              </w:rPr>
            </w:pPr>
            <w:r>
              <w:rPr>
                <w:rFonts w:hint="eastAsia"/>
                <w:highlight w:val="none"/>
              </w:rPr>
              <w:t>支持扩展标准CAN</w:t>
            </w:r>
            <w:r>
              <w:rPr>
                <w:rFonts w:hint="eastAsia"/>
                <w:highlight w:val="none"/>
                <w:lang w:val="en-US" w:eastAsia="zh-CN"/>
              </w:rPr>
              <w:t>及</w:t>
            </w:r>
            <w:r>
              <w:rPr>
                <w:rFonts w:hint="eastAsia"/>
                <w:highlight w:val="none"/>
              </w:rPr>
              <w:t>485通讯外设</w:t>
            </w:r>
          </w:p>
        </w:tc>
      </w:tr>
      <w:tr w14:paraId="4D47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28D598FD">
            <w:pPr>
              <w:rPr>
                <w:rFonts w:hint="eastAsia"/>
                <w:b/>
                <w:szCs w:val="21"/>
              </w:rPr>
            </w:pPr>
          </w:p>
        </w:tc>
        <w:tc>
          <w:tcPr>
            <w:tcW w:w="1980" w:type="dxa"/>
            <w:vMerge w:val="continue"/>
          </w:tcPr>
          <w:p w14:paraId="019BFAB3">
            <w:pPr>
              <w:rPr>
                <w:rFonts w:hint="eastAsia"/>
                <w:b/>
                <w:szCs w:val="21"/>
              </w:rPr>
            </w:pPr>
          </w:p>
        </w:tc>
        <w:tc>
          <w:tcPr>
            <w:tcW w:w="5580" w:type="dxa"/>
          </w:tcPr>
          <w:p w14:paraId="07FF9E4A">
            <w:pPr>
              <w:numPr>
                <w:ilvl w:val="0"/>
                <w:numId w:val="12"/>
              </w:numPr>
              <w:spacing w:after="60"/>
              <w:rPr>
                <w:rFonts w:hint="eastAsia"/>
              </w:rPr>
            </w:pPr>
            <w:r>
              <w:rPr>
                <w:rFonts w:hint="eastAsia"/>
              </w:rPr>
              <w:t>提供开发接口等</w:t>
            </w:r>
          </w:p>
        </w:tc>
      </w:tr>
      <w:tr w14:paraId="3022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707E670C">
            <w:pPr>
              <w:rPr>
                <w:rFonts w:hint="eastAsia"/>
                <w:b/>
                <w:szCs w:val="21"/>
              </w:rPr>
            </w:pPr>
          </w:p>
        </w:tc>
        <w:tc>
          <w:tcPr>
            <w:tcW w:w="1980" w:type="dxa"/>
            <w:vMerge w:val="continue"/>
          </w:tcPr>
          <w:p w14:paraId="7F9940D4">
            <w:pPr>
              <w:rPr>
                <w:rFonts w:hint="eastAsia"/>
                <w:b/>
                <w:szCs w:val="21"/>
              </w:rPr>
            </w:pPr>
          </w:p>
        </w:tc>
        <w:tc>
          <w:tcPr>
            <w:tcW w:w="5580" w:type="dxa"/>
          </w:tcPr>
          <w:p w14:paraId="6F1FFEBE">
            <w:pPr>
              <w:numPr>
                <w:ilvl w:val="0"/>
                <w:numId w:val="13"/>
              </w:numPr>
              <w:spacing w:after="60"/>
              <w:rPr>
                <w:rFonts w:hint="eastAsia"/>
              </w:rPr>
            </w:pPr>
            <w:r>
              <w:rPr>
                <w:rFonts w:hint="eastAsia"/>
              </w:rPr>
              <w:t>机身尺寸：</w:t>
            </w:r>
            <w:r>
              <w:rPr>
                <w:rFonts w:hint="eastAsia"/>
                <w:lang w:eastAsia="zh-CN"/>
              </w:rPr>
              <w:t>（</w:t>
            </w:r>
            <w:r>
              <w:rPr>
                <w:rFonts w:hint="eastAsia" w:ascii="宋体" w:hAnsi="宋体" w:eastAsia="宋体" w:cs="宋体"/>
              </w:rPr>
              <w:t>±</w:t>
            </w:r>
            <w:r>
              <w:rPr>
                <w:rFonts w:hint="eastAsia" w:eastAsia="宋体"/>
                <w:lang w:val="en-US" w:eastAsia="zh-CN"/>
              </w:rPr>
              <w:t>5mm）</w:t>
            </w:r>
            <w:r>
              <w:rPr>
                <w:rFonts w:hint="eastAsia"/>
              </w:rPr>
              <w:t>长宽高 400mm*300mm*66.8mm</w:t>
            </w:r>
          </w:p>
        </w:tc>
      </w:tr>
      <w:tr w14:paraId="2A48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900" w:type="dxa"/>
            <w:vMerge w:val="continue"/>
            <w:vAlign w:val="center"/>
          </w:tcPr>
          <w:p w14:paraId="413EE46E">
            <w:pPr>
              <w:rPr>
                <w:rFonts w:hint="eastAsia"/>
                <w:b/>
                <w:szCs w:val="21"/>
              </w:rPr>
            </w:pPr>
          </w:p>
        </w:tc>
        <w:tc>
          <w:tcPr>
            <w:tcW w:w="1980" w:type="dxa"/>
            <w:vMerge w:val="continue"/>
          </w:tcPr>
          <w:p w14:paraId="658740A1">
            <w:pPr>
              <w:rPr>
                <w:rFonts w:hint="eastAsia"/>
                <w:b/>
                <w:szCs w:val="21"/>
              </w:rPr>
            </w:pPr>
          </w:p>
        </w:tc>
        <w:tc>
          <w:tcPr>
            <w:tcW w:w="5580" w:type="dxa"/>
          </w:tcPr>
          <w:p w14:paraId="2C3DEDA6">
            <w:pPr>
              <w:numPr>
                <w:ilvl w:val="0"/>
                <w:numId w:val="14"/>
              </w:numPr>
              <w:spacing w:after="60"/>
              <w:rPr>
                <w:rFonts w:hint="eastAsia"/>
              </w:rPr>
            </w:pPr>
            <w:r>
              <w:rPr>
                <w:rFonts w:hint="eastAsia"/>
              </w:rPr>
              <w:t>机身重量:</w:t>
            </w:r>
            <w:r>
              <w:rPr>
                <w:rFonts w:hint="eastAsia" w:ascii="宋体" w:hAnsi="宋体"/>
                <w:szCs w:val="21"/>
              </w:rPr>
              <w:t>≤</w:t>
            </w:r>
            <w:r>
              <w:rPr>
                <w:rFonts w:hint="eastAsia"/>
              </w:rPr>
              <w:t xml:space="preserve"> 3.8Kg</w:t>
            </w:r>
          </w:p>
        </w:tc>
      </w:tr>
      <w:tr w14:paraId="7272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restart"/>
            <w:vAlign w:val="center"/>
          </w:tcPr>
          <w:p w14:paraId="32A6E0A7">
            <w:pPr>
              <w:jc w:val="center"/>
              <w:rPr>
                <w:rFonts w:hint="eastAsia"/>
                <w:b/>
                <w:szCs w:val="21"/>
              </w:rPr>
            </w:pPr>
            <w:r>
              <w:rPr>
                <w:rFonts w:hint="eastAsia"/>
                <w:b/>
                <w:szCs w:val="21"/>
              </w:rPr>
              <w:t>2</w:t>
            </w:r>
          </w:p>
        </w:tc>
        <w:tc>
          <w:tcPr>
            <w:tcW w:w="1980" w:type="dxa"/>
            <w:vMerge w:val="restart"/>
            <w:vAlign w:val="center"/>
          </w:tcPr>
          <w:p w14:paraId="5FC20BB9">
            <w:pPr>
              <w:jc w:val="center"/>
              <w:rPr>
                <w:b/>
                <w:szCs w:val="21"/>
              </w:rPr>
            </w:pPr>
            <w:r>
              <w:rPr>
                <w:rFonts w:hint="eastAsia" w:ascii="宋体" w:hAnsi="宋体"/>
                <w:b/>
              </w:rPr>
              <w:t>IP网络医护主机</w:t>
            </w:r>
          </w:p>
        </w:tc>
        <w:tc>
          <w:tcPr>
            <w:tcW w:w="5580" w:type="dxa"/>
          </w:tcPr>
          <w:p w14:paraId="2D4056E1">
            <w:pPr>
              <w:numPr>
                <w:ilvl w:val="0"/>
                <w:numId w:val="15"/>
              </w:numPr>
              <w:spacing w:after="60"/>
              <w:rPr>
                <w:rFonts w:hint="eastAsia"/>
              </w:rPr>
            </w:pPr>
            <w:r>
              <w:rPr>
                <w:rFonts w:hint="eastAsia"/>
              </w:rPr>
              <w:t>采用IP组网方式</w:t>
            </w:r>
          </w:p>
        </w:tc>
      </w:tr>
      <w:tr w14:paraId="2682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213373D9">
            <w:pPr>
              <w:jc w:val="center"/>
              <w:rPr>
                <w:rFonts w:hint="eastAsia"/>
                <w:b/>
                <w:szCs w:val="21"/>
              </w:rPr>
            </w:pPr>
          </w:p>
        </w:tc>
        <w:tc>
          <w:tcPr>
            <w:tcW w:w="1980" w:type="dxa"/>
            <w:vMerge w:val="continue"/>
          </w:tcPr>
          <w:p w14:paraId="3B92F0E3"/>
        </w:tc>
        <w:tc>
          <w:tcPr>
            <w:tcW w:w="5580" w:type="dxa"/>
          </w:tcPr>
          <w:p w14:paraId="0EF40499">
            <w:pPr>
              <w:numPr>
                <w:ilvl w:val="0"/>
                <w:numId w:val="16"/>
              </w:numPr>
              <w:spacing w:after="60"/>
              <w:rPr>
                <w:rFonts w:hint="eastAsia"/>
              </w:rPr>
            </w:pPr>
            <w:r>
              <w:rPr>
                <w:rFonts w:hint="eastAsia"/>
              </w:rPr>
              <w:t>材质/工艺 ABS</w:t>
            </w:r>
          </w:p>
        </w:tc>
      </w:tr>
      <w:tr w14:paraId="7527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0CC6CFBB">
            <w:pPr>
              <w:jc w:val="center"/>
              <w:rPr>
                <w:rFonts w:hint="eastAsia"/>
                <w:b/>
                <w:szCs w:val="21"/>
              </w:rPr>
            </w:pPr>
          </w:p>
        </w:tc>
        <w:tc>
          <w:tcPr>
            <w:tcW w:w="1980" w:type="dxa"/>
            <w:vMerge w:val="continue"/>
          </w:tcPr>
          <w:p w14:paraId="794F9E11">
            <w:pPr>
              <w:rPr>
                <w:b/>
                <w:szCs w:val="21"/>
              </w:rPr>
            </w:pPr>
          </w:p>
        </w:tc>
        <w:tc>
          <w:tcPr>
            <w:tcW w:w="5580" w:type="dxa"/>
          </w:tcPr>
          <w:p w14:paraId="0D3E91AF">
            <w:pPr>
              <w:spacing w:after="60"/>
              <w:rPr>
                <w:rFonts w:hint="eastAsia"/>
              </w:rPr>
            </w:pPr>
            <w:r>
              <w:rPr>
                <w:rFonts w:hint="eastAsia"/>
              </w:rPr>
              <w:t>3. 机身尺寸：</w:t>
            </w:r>
            <w:r>
              <w:rPr>
                <w:rFonts w:hint="eastAsia"/>
                <w:lang w:eastAsia="zh-CN"/>
              </w:rPr>
              <w:t>（</w:t>
            </w:r>
            <w:r>
              <w:rPr>
                <w:rFonts w:hint="eastAsia" w:ascii="宋体" w:hAnsi="宋体" w:eastAsia="宋体" w:cs="宋体"/>
              </w:rPr>
              <w:t>±</w:t>
            </w:r>
            <w:r>
              <w:rPr>
                <w:rFonts w:hint="eastAsia" w:eastAsia="宋体"/>
                <w:lang w:val="en-US" w:eastAsia="zh-CN"/>
              </w:rPr>
              <w:t>5mm）</w:t>
            </w:r>
            <w:r>
              <w:rPr>
                <w:rFonts w:hint="eastAsia"/>
              </w:rPr>
              <w:t>长宽厚 319.0mm*218.0mm*26.0mm</w:t>
            </w:r>
          </w:p>
        </w:tc>
      </w:tr>
      <w:tr w14:paraId="332B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366C6644">
            <w:pPr>
              <w:jc w:val="center"/>
              <w:rPr>
                <w:rFonts w:hint="eastAsia"/>
                <w:b/>
                <w:szCs w:val="21"/>
              </w:rPr>
            </w:pPr>
          </w:p>
        </w:tc>
        <w:tc>
          <w:tcPr>
            <w:tcW w:w="1980" w:type="dxa"/>
            <w:vMerge w:val="continue"/>
          </w:tcPr>
          <w:p w14:paraId="12DDE285">
            <w:pPr>
              <w:rPr>
                <w:b/>
                <w:szCs w:val="21"/>
              </w:rPr>
            </w:pPr>
          </w:p>
        </w:tc>
        <w:tc>
          <w:tcPr>
            <w:tcW w:w="5580" w:type="dxa"/>
          </w:tcPr>
          <w:p w14:paraId="124BAA10">
            <w:pPr>
              <w:spacing w:after="60"/>
              <w:rPr>
                <w:rFonts w:hint="eastAsia"/>
              </w:rPr>
            </w:pPr>
            <w:r>
              <w:rPr>
                <w:rFonts w:hint="eastAsia"/>
              </w:rPr>
              <w:t xml:space="preserve">4. 机身重量: </w:t>
            </w:r>
            <w:r>
              <w:rPr>
                <w:rFonts w:hint="eastAsia" w:ascii="宋体" w:hAnsi="宋体"/>
                <w:szCs w:val="21"/>
              </w:rPr>
              <w:t>≤</w:t>
            </w:r>
            <w:r>
              <w:rPr>
                <w:rFonts w:hint="eastAsia"/>
              </w:rPr>
              <w:t>1.3Kg</w:t>
            </w:r>
          </w:p>
        </w:tc>
      </w:tr>
      <w:tr w14:paraId="4655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48FE1D4D">
            <w:pPr>
              <w:jc w:val="center"/>
              <w:rPr>
                <w:rFonts w:hint="eastAsia"/>
                <w:b/>
                <w:szCs w:val="21"/>
              </w:rPr>
            </w:pPr>
          </w:p>
        </w:tc>
        <w:tc>
          <w:tcPr>
            <w:tcW w:w="1980" w:type="dxa"/>
            <w:vMerge w:val="continue"/>
          </w:tcPr>
          <w:p w14:paraId="51CA0592">
            <w:pPr>
              <w:rPr>
                <w:b/>
                <w:szCs w:val="21"/>
              </w:rPr>
            </w:pPr>
          </w:p>
        </w:tc>
        <w:tc>
          <w:tcPr>
            <w:tcW w:w="5580" w:type="dxa"/>
          </w:tcPr>
          <w:p w14:paraId="1771935B">
            <w:pPr>
              <w:spacing w:after="60"/>
              <w:rPr>
                <w:rFonts w:hint="eastAsia"/>
              </w:rPr>
            </w:pPr>
            <w:r>
              <w:rPr>
                <w:rFonts w:hint="eastAsia"/>
              </w:rPr>
              <w:t>5. 直接与服务器进行网络通信，可完全脱机运行</w:t>
            </w:r>
          </w:p>
        </w:tc>
      </w:tr>
      <w:tr w14:paraId="5F88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038C86D0">
            <w:pPr>
              <w:jc w:val="center"/>
              <w:rPr>
                <w:rFonts w:hint="eastAsia"/>
                <w:b/>
                <w:szCs w:val="21"/>
              </w:rPr>
            </w:pPr>
          </w:p>
        </w:tc>
        <w:tc>
          <w:tcPr>
            <w:tcW w:w="1980" w:type="dxa"/>
            <w:vMerge w:val="continue"/>
          </w:tcPr>
          <w:p w14:paraId="0563D3AC">
            <w:pPr>
              <w:rPr>
                <w:b/>
                <w:szCs w:val="21"/>
              </w:rPr>
            </w:pPr>
          </w:p>
        </w:tc>
        <w:tc>
          <w:tcPr>
            <w:tcW w:w="5580" w:type="dxa"/>
          </w:tcPr>
          <w:p w14:paraId="3E5A294B">
            <w:pPr>
              <w:spacing w:after="60"/>
              <w:rPr>
                <w:rFonts w:hint="eastAsia"/>
              </w:rPr>
            </w:pPr>
            <w:r>
              <w:rPr>
                <w:rFonts w:hint="eastAsia"/>
              </w:rPr>
              <w:t>6. 采用</w:t>
            </w:r>
            <w:r>
              <w:rPr>
                <w:rFonts w:hint="eastAsia" w:ascii="宋体" w:hAnsi="宋体" w:eastAsia="宋体" w:cs="宋体"/>
                <w:b w:val="0"/>
                <w:bCs/>
                <w:sz w:val="21"/>
                <w:szCs w:val="21"/>
              </w:rPr>
              <w:t>≥</w:t>
            </w:r>
            <w:r>
              <w:rPr>
                <w:rFonts w:hint="eastAsia"/>
              </w:rPr>
              <w:t>10.2英寸</w:t>
            </w:r>
            <w:r>
              <w:rPr>
                <w:rFonts w:hint="eastAsia"/>
                <w:lang w:val="en-US" w:eastAsia="zh-CN"/>
              </w:rPr>
              <w:t>显示屏</w:t>
            </w:r>
            <w:r>
              <w:rPr>
                <w:rFonts w:hint="eastAsia"/>
              </w:rPr>
              <w:t>，支持触摸操作</w:t>
            </w:r>
          </w:p>
        </w:tc>
      </w:tr>
      <w:tr w14:paraId="18A5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1D368FAA">
            <w:pPr>
              <w:jc w:val="center"/>
              <w:rPr>
                <w:rFonts w:hint="eastAsia"/>
                <w:b/>
                <w:szCs w:val="21"/>
              </w:rPr>
            </w:pPr>
          </w:p>
        </w:tc>
        <w:tc>
          <w:tcPr>
            <w:tcW w:w="1980" w:type="dxa"/>
            <w:vMerge w:val="continue"/>
          </w:tcPr>
          <w:p w14:paraId="21B5E82D">
            <w:pPr>
              <w:rPr>
                <w:b/>
                <w:szCs w:val="21"/>
              </w:rPr>
            </w:pPr>
          </w:p>
        </w:tc>
        <w:tc>
          <w:tcPr>
            <w:tcW w:w="5580" w:type="dxa"/>
          </w:tcPr>
          <w:p w14:paraId="6BAFAE22">
            <w:pPr>
              <w:spacing w:after="60"/>
              <w:rPr>
                <w:rFonts w:hint="eastAsia"/>
              </w:rPr>
            </w:pPr>
            <w:r>
              <w:rPr>
                <w:rFonts w:hint="eastAsia"/>
              </w:rPr>
              <w:t>7. 可显示床位一览表和患者在院详细信息；支持呼叫对讲、呼叫显示、呼叫未处理提醒与一键清除</w:t>
            </w:r>
          </w:p>
        </w:tc>
      </w:tr>
      <w:tr w14:paraId="0DF1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7C0F612F">
            <w:pPr>
              <w:jc w:val="center"/>
              <w:rPr>
                <w:rFonts w:hint="eastAsia"/>
                <w:b/>
                <w:szCs w:val="21"/>
              </w:rPr>
            </w:pPr>
          </w:p>
        </w:tc>
        <w:tc>
          <w:tcPr>
            <w:tcW w:w="1980" w:type="dxa"/>
            <w:vMerge w:val="continue"/>
          </w:tcPr>
          <w:p w14:paraId="0F9B610A">
            <w:pPr>
              <w:rPr>
                <w:b/>
                <w:szCs w:val="21"/>
              </w:rPr>
            </w:pPr>
          </w:p>
        </w:tc>
        <w:tc>
          <w:tcPr>
            <w:tcW w:w="5580" w:type="dxa"/>
          </w:tcPr>
          <w:p w14:paraId="39AC5DE3">
            <w:pPr>
              <w:spacing w:after="60"/>
              <w:rPr>
                <w:rFonts w:hint="eastAsia"/>
              </w:rPr>
            </w:pPr>
            <w:r>
              <w:rPr>
                <w:rFonts w:hint="eastAsia"/>
              </w:rPr>
              <w:t>8．可上传呼叫、通话、清除、护理等记录信息，支持通话录音</w:t>
            </w:r>
          </w:p>
        </w:tc>
      </w:tr>
      <w:tr w14:paraId="34D4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7EFD8334">
            <w:pPr>
              <w:jc w:val="center"/>
              <w:rPr>
                <w:rFonts w:hint="eastAsia"/>
                <w:b/>
                <w:szCs w:val="21"/>
              </w:rPr>
            </w:pPr>
          </w:p>
        </w:tc>
        <w:tc>
          <w:tcPr>
            <w:tcW w:w="1980" w:type="dxa"/>
            <w:vMerge w:val="continue"/>
          </w:tcPr>
          <w:p w14:paraId="0D4547EB">
            <w:pPr>
              <w:rPr>
                <w:b/>
                <w:szCs w:val="21"/>
              </w:rPr>
            </w:pPr>
          </w:p>
        </w:tc>
        <w:tc>
          <w:tcPr>
            <w:tcW w:w="5580" w:type="dxa"/>
          </w:tcPr>
          <w:p w14:paraId="39517CC7">
            <w:pPr>
              <w:spacing w:after="60"/>
              <w:rPr>
                <w:rFonts w:hint="eastAsia"/>
              </w:rPr>
            </w:pPr>
            <w:r>
              <w:rPr>
                <w:rFonts w:hint="eastAsia"/>
              </w:rPr>
              <w:t>9. 具有线路检测、故障报警、故障巡检、工作日志记录功能</w:t>
            </w:r>
          </w:p>
        </w:tc>
      </w:tr>
      <w:tr w14:paraId="2104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3494D34B">
            <w:pPr>
              <w:jc w:val="center"/>
              <w:rPr>
                <w:rFonts w:hint="eastAsia"/>
                <w:b/>
                <w:szCs w:val="21"/>
              </w:rPr>
            </w:pPr>
          </w:p>
        </w:tc>
        <w:tc>
          <w:tcPr>
            <w:tcW w:w="1980" w:type="dxa"/>
            <w:vMerge w:val="continue"/>
          </w:tcPr>
          <w:p w14:paraId="46A6F078">
            <w:pPr>
              <w:rPr>
                <w:b/>
                <w:szCs w:val="21"/>
              </w:rPr>
            </w:pPr>
          </w:p>
        </w:tc>
        <w:tc>
          <w:tcPr>
            <w:tcW w:w="5580" w:type="dxa"/>
          </w:tcPr>
          <w:p w14:paraId="60FEB93C">
            <w:pPr>
              <w:numPr>
                <w:ilvl w:val="0"/>
                <w:numId w:val="17"/>
              </w:numPr>
              <w:spacing w:after="60"/>
              <w:rPr>
                <w:rFonts w:hint="eastAsia"/>
              </w:rPr>
            </w:pPr>
            <w:r>
              <w:rPr>
                <w:rFonts w:hint="eastAsia"/>
              </w:rPr>
              <w:t>显示屏幕 屏幕类型 TFT 屏幕尺寸</w:t>
            </w:r>
            <w:r>
              <w:rPr>
                <w:rFonts w:hint="eastAsia" w:ascii="宋体" w:hAnsi="宋体" w:eastAsia="宋体" w:cs="宋体"/>
                <w:b w:val="0"/>
                <w:bCs/>
                <w:sz w:val="21"/>
                <w:szCs w:val="21"/>
              </w:rPr>
              <w:t>≥</w:t>
            </w:r>
            <w:r>
              <w:rPr>
                <w:rFonts w:hint="eastAsia"/>
              </w:rPr>
              <w:t xml:space="preserve"> 10.1 英寸</w:t>
            </w:r>
          </w:p>
        </w:tc>
      </w:tr>
      <w:tr w14:paraId="59ED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503E4718">
            <w:pPr>
              <w:jc w:val="center"/>
              <w:rPr>
                <w:rFonts w:hint="eastAsia"/>
                <w:b/>
                <w:szCs w:val="21"/>
              </w:rPr>
            </w:pPr>
          </w:p>
        </w:tc>
        <w:tc>
          <w:tcPr>
            <w:tcW w:w="1980" w:type="dxa"/>
            <w:vMerge w:val="continue"/>
          </w:tcPr>
          <w:p w14:paraId="36F40075">
            <w:pPr>
              <w:rPr>
                <w:b/>
                <w:szCs w:val="21"/>
              </w:rPr>
            </w:pPr>
          </w:p>
        </w:tc>
        <w:tc>
          <w:tcPr>
            <w:tcW w:w="5580" w:type="dxa"/>
          </w:tcPr>
          <w:p w14:paraId="0654171A">
            <w:pPr>
              <w:spacing w:after="60"/>
              <w:rPr>
                <w:rFonts w:hint="eastAsia"/>
              </w:rPr>
            </w:pPr>
            <w:r>
              <w:rPr>
                <w:rFonts w:hint="default"/>
              </w:rPr>
              <w:t>11．</w:t>
            </w:r>
            <w:r>
              <w:rPr>
                <w:rFonts w:hint="eastAsia"/>
              </w:rPr>
              <w:t xml:space="preserve">显示区域 </w:t>
            </w:r>
            <w:r>
              <w:rPr>
                <w:rFonts w:hint="eastAsia" w:ascii="宋体" w:hAnsi="宋体" w:eastAsia="宋体" w:cs="宋体"/>
                <w:b w:val="0"/>
                <w:bCs/>
                <w:sz w:val="21"/>
                <w:szCs w:val="21"/>
              </w:rPr>
              <w:t>≥</w:t>
            </w:r>
            <w:r>
              <w:rPr>
                <w:rFonts w:hint="eastAsia"/>
              </w:rPr>
              <w:t>223.0mm×125.0mm</w:t>
            </w:r>
            <w:r>
              <w:rPr>
                <w:rFonts w:hint="default"/>
              </w:rPr>
              <w:t xml:space="preserve">  </w:t>
            </w:r>
            <w:r>
              <w:rPr>
                <w:rFonts w:hint="eastAsia"/>
              </w:rPr>
              <w:t xml:space="preserve">屏幕比例 16:9 </w:t>
            </w:r>
          </w:p>
        </w:tc>
      </w:tr>
      <w:tr w14:paraId="1A16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23DE5F01">
            <w:pPr>
              <w:jc w:val="center"/>
              <w:rPr>
                <w:rFonts w:hint="eastAsia"/>
                <w:b/>
                <w:szCs w:val="21"/>
              </w:rPr>
            </w:pPr>
          </w:p>
        </w:tc>
        <w:tc>
          <w:tcPr>
            <w:tcW w:w="1980" w:type="dxa"/>
            <w:vMerge w:val="continue"/>
          </w:tcPr>
          <w:p w14:paraId="14C57C4C">
            <w:pPr>
              <w:rPr>
                <w:b/>
                <w:szCs w:val="21"/>
              </w:rPr>
            </w:pPr>
          </w:p>
        </w:tc>
        <w:tc>
          <w:tcPr>
            <w:tcW w:w="5580" w:type="dxa"/>
          </w:tcPr>
          <w:p w14:paraId="6A84C1C1">
            <w:pPr>
              <w:spacing w:after="60"/>
              <w:rPr>
                <w:rFonts w:hint="eastAsia"/>
              </w:rPr>
            </w:pPr>
            <w:r>
              <w:rPr>
                <w:rFonts w:hint="default"/>
              </w:rPr>
              <w:t>12.</w:t>
            </w:r>
            <w:r>
              <w:rPr>
                <w:rFonts w:hint="eastAsia"/>
              </w:rPr>
              <w:t xml:space="preserve"> 分辨率 </w:t>
            </w:r>
            <w:r>
              <w:rPr>
                <w:rFonts w:hint="eastAsia" w:ascii="宋体" w:hAnsi="宋体" w:eastAsia="宋体" w:cs="宋体"/>
                <w:b w:val="0"/>
                <w:bCs/>
                <w:sz w:val="21"/>
                <w:szCs w:val="21"/>
              </w:rPr>
              <w:t>≥</w:t>
            </w:r>
            <w:r>
              <w:rPr>
                <w:rFonts w:hint="eastAsia"/>
              </w:rPr>
              <w:t>1024×600 亮度 250cd/㎡(Typ)</w:t>
            </w:r>
          </w:p>
        </w:tc>
      </w:tr>
      <w:tr w14:paraId="28D3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11F00450">
            <w:pPr>
              <w:jc w:val="center"/>
              <w:rPr>
                <w:rFonts w:hint="eastAsia"/>
                <w:b/>
                <w:szCs w:val="21"/>
              </w:rPr>
            </w:pPr>
          </w:p>
        </w:tc>
        <w:tc>
          <w:tcPr>
            <w:tcW w:w="1980" w:type="dxa"/>
            <w:vMerge w:val="continue"/>
          </w:tcPr>
          <w:p w14:paraId="2CAC252E">
            <w:pPr>
              <w:rPr>
                <w:b/>
                <w:szCs w:val="21"/>
              </w:rPr>
            </w:pPr>
          </w:p>
        </w:tc>
        <w:tc>
          <w:tcPr>
            <w:tcW w:w="5580" w:type="dxa"/>
          </w:tcPr>
          <w:p w14:paraId="349DCBD9">
            <w:pPr>
              <w:spacing w:after="60"/>
              <w:rPr>
                <w:rFonts w:hint="eastAsia"/>
                <w:highlight w:val="none"/>
              </w:rPr>
            </w:pPr>
            <w:r>
              <w:rPr>
                <w:rFonts w:hint="default"/>
                <w:highlight w:val="none"/>
              </w:rPr>
              <w:t>13.</w:t>
            </w:r>
            <w:r>
              <w:rPr>
                <w:rFonts w:hint="eastAsia"/>
                <w:highlight w:val="none"/>
              </w:rPr>
              <w:t xml:space="preserve"> 视角 </w:t>
            </w:r>
            <w:r>
              <w:rPr>
                <w:rFonts w:hint="eastAsia" w:ascii="宋体" w:hAnsi="宋体" w:eastAsia="宋体" w:cs="宋体"/>
                <w:b w:val="0"/>
                <w:bCs/>
                <w:sz w:val="21"/>
                <w:szCs w:val="21"/>
                <w:highlight w:val="none"/>
              </w:rPr>
              <w:t>≥</w:t>
            </w:r>
            <w:r>
              <w:rPr>
                <w:rFonts w:hint="eastAsia"/>
                <w:highlight w:val="none"/>
              </w:rPr>
              <w:t xml:space="preserve">70/70/50/70deg(Typ) </w:t>
            </w:r>
          </w:p>
        </w:tc>
      </w:tr>
      <w:tr w14:paraId="4C29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Merge w:val="continue"/>
            <w:vAlign w:val="center"/>
          </w:tcPr>
          <w:p w14:paraId="2B8FC636">
            <w:pPr>
              <w:jc w:val="center"/>
              <w:rPr>
                <w:rFonts w:hint="eastAsia"/>
                <w:b/>
                <w:szCs w:val="21"/>
              </w:rPr>
            </w:pPr>
          </w:p>
        </w:tc>
        <w:tc>
          <w:tcPr>
            <w:tcW w:w="1980" w:type="dxa"/>
            <w:vMerge w:val="continue"/>
          </w:tcPr>
          <w:p w14:paraId="384BD7FD">
            <w:pPr>
              <w:rPr>
                <w:b/>
                <w:szCs w:val="21"/>
              </w:rPr>
            </w:pPr>
          </w:p>
        </w:tc>
        <w:tc>
          <w:tcPr>
            <w:tcW w:w="5580" w:type="dxa"/>
          </w:tcPr>
          <w:p w14:paraId="35B6DB5E">
            <w:pPr>
              <w:spacing w:after="60"/>
              <w:rPr>
                <w:rFonts w:hint="eastAsia"/>
              </w:rPr>
            </w:pPr>
            <w:r>
              <w:rPr>
                <w:rFonts w:hint="default"/>
              </w:rPr>
              <w:t>14.</w:t>
            </w:r>
            <w:r>
              <w:rPr>
                <w:rFonts w:hint="eastAsia"/>
              </w:rPr>
              <w:t xml:space="preserve"> 触摸屏类型 电阻触摸屏</w:t>
            </w:r>
          </w:p>
        </w:tc>
      </w:tr>
      <w:tr w14:paraId="584E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restart"/>
            <w:vAlign w:val="center"/>
          </w:tcPr>
          <w:p w14:paraId="02636D8B">
            <w:pPr>
              <w:jc w:val="center"/>
              <w:rPr>
                <w:rFonts w:hint="eastAsia"/>
                <w:b/>
                <w:szCs w:val="21"/>
              </w:rPr>
            </w:pPr>
            <w:r>
              <w:rPr>
                <w:rFonts w:hint="eastAsia"/>
                <w:b/>
                <w:szCs w:val="21"/>
              </w:rPr>
              <w:t>3</w:t>
            </w:r>
          </w:p>
        </w:tc>
        <w:tc>
          <w:tcPr>
            <w:tcW w:w="1980" w:type="dxa"/>
            <w:vMerge w:val="restart"/>
            <w:vAlign w:val="center"/>
          </w:tcPr>
          <w:p w14:paraId="5F1FCF75">
            <w:pPr>
              <w:jc w:val="center"/>
              <w:rPr>
                <w:rFonts w:hint="eastAsia"/>
                <w:b/>
                <w:szCs w:val="21"/>
                <w:lang w:val="en-US" w:eastAsia="zh-CN"/>
              </w:rPr>
            </w:pPr>
            <w:r>
              <w:rPr>
                <w:rFonts w:hint="eastAsia"/>
                <w:b/>
                <w:szCs w:val="21"/>
                <w:lang w:val="en-US" w:eastAsia="zh-CN"/>
              </w:rPr>
              <w:t>床头分机</w:t>
            </w:r>
          </w:p>
        </w:tc>
        <w:tc>
          <w:tcPr>
            <w:tcW w:w="5580" w:type="dxa"/>
          </w:tcPr>
          <w:p w14:paraId="2BD33A5E">
            <w:pPr>
              <w:numPr>
                <w:ilvl w:val="0"/>
                <w:numId w:val="18"/>
              </w:numPr>
              <w:spacing w:after="60"/>
              <w:rPr>
                <w:rFonts w:hint="default"/>
              </w:rPr>
            </w:pPr>
            <w:r>
              <w:rPr>
                <w:rFonts w:hint="eastAsia"/>
              </w:rPr>
              <w:t>采用两线制组网方式，即电源线、数据线、语音线共用一条两芯线</w:t>
            </w:r>
          </w:p>
        </w:tc>
      </w:tr>
      <w:tr w14:paraId="50D8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48C2C878">
            <w:pPr>
              <w:jc w:val="center"/>
              <w:rPr>
                <w:rFonts w:hint="eastAsia"/>
                <w:b/>
                <w:szCs w:val="21"/>
              </w:rPr>
            </w:pPr>
          </w:p>
        </w:tc>
        <w:tc>
          <w:tcPr>
            <w:tcW w:w="1980" w:type="dxa"/>
            <w:vMerge w:val="continue"/>
            <w:vAlign w:val="center"/>
          </w:tcPr>
          <w:p w14:paraId="6A2917A2">
            <w:pPr>
              <w:jc w:val="center"/>
              <w:rPr>
                <w:rFonts w:hint="eastAsia"/>
                <w:b/>
                <w:szCs w:val="21"/>
                <w:lang w:val="en-US" w:eastAsia="zh-CN"/>
              </w:rPr>
            </w:pPr>
          </w:p>
        </w:tc>
        <w:tc>
          <w:tcPr>
            <w:tcW w:w="5580" w:type="dxa"/>
          </w:tcPr>
          <w:p w14:paraId="66105586">
            <w:pPr>
              <w:spacing w:after="60"/>
              <w:rPr>
                <w:rFonts w:hint="default"/>
              </w:rPr>
            </w:pPr>
            <w:r>
              <w:rPr>
                <w:rFonts w:hint="eastAsia"/>
              </w:rPr>
              <w:t>2. 采用</w:t>
            </w:r>
            <w:r>
              <w:rPr>
                <w:rFonts w:hint="eastAsia" w:ascii="宋体" w:hAnsi="宋体" w:eastAsia="宋体" w:cs="宋体"/>
                <w:b w:val="0"/>
                <w:bCs/>
                <w:sz w:val="21"/>
                <w:szCs w:val="21"/>
              </w:rPr>
              <w:t>≥</w:t>
            </w:r>
            <w:r>
              <w:rPr>
                <w:rFonts w:hint="eastAsia"/>
              </w:rPr>
              <w:t>4.3英寸</w:t>
            </w:r>
            <w:r>
              <w:rPr>
                <w:rFonts w:hint="eastAsia"/>
                <w:lang w:val="en-US" w:eastAsia="zh-CN"/>
              </w:rPr>
              <w:t>显示</w:t>
            </w:r>
            <w:r>
              <w:rPr>
                <w:rFonts w:hint="eastAsia"/>
              </w:rPr>
              <w:t xml:space="preserve">屏 </w:t>
            </w:r>
            <w:r>
              <w:rPr>
                <w:rFonts w:hint="eastAsia" w:ascii="宋体" w:hAnsi="宋体" w:eastAsia="宋体" w:cs="宋体"/>
                <w:b w:val="0"/>
                <w:bCs/>
                <w:sz w:val="21"/>
                <w:szCs w:val="21"/>
              </w:rPr>
              <w:t>≥</w:t>
            </w:r>
            <w:r>
              <w:rPr>
                <w:rFonts w:hint="eastAsia"/>
              </w:rPr>
              <w:t>162mm*88mm*15mm</w:t>
            </w:r>
          </w:p>
        </w:tc>
      </w:tr>
      <w:tr w14:paraId="6674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7314EEA1">
            <w:pPr>
              <w:jc w:val="center"/>
              <w:rPr>
                <w:rFonts w:hint="eastAsia"/>
                <w:b/>
                <w:szCs w:val="21"/>
              </w:rPr>
            </w:pPr>
          </w:p>
        </w:tc>
        <w:tc>
          <w:tcPr>
            <w:tcW w:w="1980" w:type="dxa"/>
            <w:vMerge w:val="continue"/>
            <w:vAlign w:val="center"/>
          </w:tcPr>
          <w:p w14:paraId="5D0B7E04">
            <w:pPr>
              <w:jc w:val="center"/>
              <w:rPr>
                <w:rFonts w:hint="eastAsia"/>
                <w:b/>
                <w:szCs w:val="21"/>
                <w:lang w:val="en-US" w:eastAsia="zh-CN"/>
              </w:rPr>
            </w:pPr>
          </w:p>
        </w:tc>
        <w:tc>
          <w:tcPr>
            <w:tcW w:w="5580" w:type="dxa"/>
          </w:tcPr>
          <w:p w14:paraId="4AE4263A">
            <w:pPr>
              <w:spacing w:after="60"/>
              <w:rPr>
                <w:rFonts w:hint="default"/>
              </w:rPr>
            </w:pPr>
            <w:r>
              <w:rPr>
                <w:rFonts w:hint="default"/>
              </w:rPr>
              <w:t>3.</w:t>
            </w:r>
            <w:r>
              <w:rPr>
                <w:rFonts w:hint="eastAsia"/>
              </w:rPr>
              <w:t xml:space="preserve"> 待机界面可显示患者的住院信息、患者护理信息和注意事项</w:t>
            </w:r>
          </w:p>
        </w:tc>
      </w:tr>
      <w:tr w14:paraId="3882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6635E0A2">
            <w:pPr>
              <w:jc w:val="center"/>
              <w:rPr>
                <w:rFonts w:hint="eastAsia"/>
                <w:b/>
                <w:szCs w:val="21"/>
              </w:rPr>
            </w:pPr>
          </w:p>
        </w:tc>
        <w:tc>
          <w:tcPr>
            <w:tcW w:w="1980" w:type="dxa"/>
            <w:vMerge w:val="continue"/>
            <w:vAlign w:val="center"/>
          </w:tcPr>
          <w:p w14:paraId="563BD512">
            <w:pPr>
              <w:jc w:val="center"/>
              <w:rPr>
                <w:rFonts w:hint="eastAsia"/>
                <w:b/>
                <w:szCs w:val="21"/>
                <w:lang w:val="en-US" w:eastAsia="zh-CN"/>
              </w:rPr>
            </w:pPr>
          </w:p>
        </w:tc>
        <w:tc>
          <w:tcPr>
            <w:tcW w:w="5580" w:type="dxa"/>
          </w:tcPr>
          <w:p w14:paraId="078E3C55">
            <w:pPr>
              <w:spacing w:after="60"/>
              <w:rPr>
                <w:rFonts w:hint="default"/>
              </w:rPr>
            </w:pPr>
            <w:r>
              <w:rPr>
                <w:rFonts w:hint="default"/>
              </w:rPr>
              <w:t>4.</w:t>
            </w:r>
            <w:r>
              <w:rPr>
                <w:rFonts w:hint="eastAsia"/>
              </w:rPr>
              <w:t xml:space="preserve"> 菜单界面可查询至少一万字的入院须知、医嘱、药费、医生简介和医生照片</w:t>
            </w:r>
          </w:p>
        </w:tc>
      </w:tr>
      <w:tr w14:paraId="0136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598BF187">
            <w:pPr>
              <w:jc w:val="center"/>
              <w:rPr>
                <w:rFonts w:hint="eastAsia"/>
                <w:b/>
                <w:szCs w:val="21"/>
              </w:rPr>
            </w:pPr>
          </w:p>
        </w:tc>
        <w:tc>
          <w:tcPr>
            <w:tcW w:w="1980" w:type="dxa"/>
            <w:vMerge w:val="continue"/>
            <w:vAlign w:val="center"/>
          </w:tcPr>
          <w:p w14:paraId="34476AC9">
            <w:pPr>
              <w:jc w:val="center"/>
              <w:rPr>
                <w:rFonts w:hint="eastAsia"/>
                <w:b/>
                <w:szCs w:val="21"/>
                <w:lang w:val="en-US" w:eastAsia="zh-CN"/>
              </w:rPr>
            </w:pPr>
          </w:p>
        </w:tc>
        <w:tc>
          <w:tcPr>
            <w:tcW w:w="5580" w:type="dxa"/>
          </w:tcPr>
          <w:p w14:paraId="29658B63">
            <w:pPr>
              <w:spacing w:after="60"/>
              <w:rPr>
                <w:rFonts w:hint="default"/>
              </w:rPr>
            </w:pPr>
            <w:r>
              <w:rPr>
                <w:rFonts w:hint="default"/>
              </w:rPr>
              <w:t>5.</w:t>
            </w:r>
            <w:r>
              <w:rPr>
                <w:rFonts w:hint="eastAsia"/>
              </w:rPr>
              <w:t xml:space="preserve"> 采用4个25色护理标识灯</w:t>
            </w:r>
            <w:r>
              <w:rPr>
                <w:rFonts w:hint="eastAsia"/>
                <w:lang w:val="en-US" w:eastAsia="zh-CN"/>
              </w:rPr>
              <w:t>对应</w:t>
            </w:r>
            <w:r>
              <w:rPr>
                <w:rFonts w:hint="eastAsia"/>
              </w:rPr>
              <w:t>警示护理级别、过敏、饮食、预警颜色</w:t>
            </w:r>
          </w:p>
        </w:tc>
      </w:tr>
      <w:tr w14:paraId="4E7C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6365E2C4">
            <w:pPr>
              <w:jc w:val="center"/>
              <w:rPr>
                <w:rFonts w:hint="eastAsia"/>
                <w:b/>
                <w:szCs w:val="21"/>
              </w:rPr>
            </w:pPr>
          </w:p>
        </w:tc>
        <w:tc>
          <w:tcPr>
            <w:tcW w:w="1980" w:type="dxa"/>
            <w:vMerge w:val="continue"/>
            <w:vAlign w:val="center"/>
          </w:tcPr>
          <w:p w14:paraId="639E4B06">
            <w:pPr>
              <w:jc w:val="center"/>
              <w:rPr>
                <w:rFonts w:hint="eastAsia"/>
                <w:b/>
                <w:szCs w:val="21"/>
                <w:lang w:val="en-US" w:eastAsia="zh-CN"/>
              </w:rPr>
            </w:pPr>
          </w:p>
        </w:tc>
        <w:tc>
          <w:tcPr>
            <w:tcW w:w="5580" w:type="dxa"/>
          </w:tcPr>
          <w:p w14:paraId="05A49244">
            <w:pPr>
              <w:spacing w:after="60"/>
              <w:rPr>
                <w:rFonts w:hint="default"/>
              </w:rPr>
            </w:pPr>
            <w:r>
              <w:rPr>
                <w:rFonts w:hint="eastAsia"/>
              </w:rPr>
              <w:t>6. 分辨率</w:t>
            </w:r>
            <w:r>
              <w:rPr>
                <w:rFonts w:hint="eastAsia" w:ascii="宋体" w:hAnsi="宋体" w:eastAsia="宋体" w:cs="宋体"/>
                <w:b w:val="0"/>
                <w:bCs/>
                <w:sz w:val="21"/>
                <w:szCs w:val="21"/>
              </w:rPr>
              <w:t>≥</w:t>
            </w:r>
            <w:r>
              <w:rPr>
                <w:rFonts w:hint="eastAsia"/>
              </w:rPr>
              <w:t>480*272</w:t>
            </w:r>
          </w:p>
        </w:tc>
      </w:tr>
      <w:tr w14:paraId="1DC0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0" w:type="dxa"/>
            <w:vMerge w:val="continue"/>
            <w:vAlign w:val="center"/>
          </w:tcPr>
          <w:p w14:paraId="6B3A711B">
            <w:pPr>
              <w:jc w:val="center"/>
              <w:rPr>
                <w:rFonts w:hint="eastAsia"/>
                <w:b/>
                <w:szCs w:val="21"/>
              </w:rPr>
            </w:pPr>
          </w:p>
        </w:tc>
        <w:tc>
          <w:tcPr>
            <w:tcW w:w="1980" w:type="dxa"/>
            <w:vMerge w:val="continue"/>
            <w:vAlign w:val="center"/>
          </w:tcPr>
          <w:p w14:paraId="62FA2BC7">
            <w:pPr>
              <w:jc w:val="center"/>
              <w:rPr>
                <w:rFonts w:hint="eastAsia"/>
                <w:b/>
                <w:szCs w:val="21"/>
                <w:lang w:val="en-US" w:eastAsia="zh-CN"/>
              </w:rPr>
            </w:pPr>
          </w:p>
        </w:tc>
        <w:tc>
          <w:tcPr>
            <w:tcW w:w="5580" w:type="dxa"/>
          </w:tcPr>
          <w:p w14:paraId="6154ADA3">
            <w:pPr>
              <w:spacing w:after="60"/>
              <w:rPr>
                <w:rFonts w:hint="default"/>
              </w:rPr>
            </w:pPr>
            <w:r>
              <w:rPr>
                <w:rFonts w:hint="eastAsia"/>
              </w:rPr>
              <w:t>7. 手持呼叫开关可呼叫、对讲、控制背光灯</w:t>
            </w:r>
          </w:p>
        </w:tc>
      </w:tr>
      <w:tr w14:paraId="465E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restart"/>
            <w:vAlign w:val="center"/>
          </w:tcPr>
          <w:p w14:paraId="63120177">
            <w:pPr>
              <w:jc w:val="center"/>
              <w:rPr>
                <w:rFonts w:hint="eastAsia"/>
                <w:b/>
                <w:szCs w:val="21"/>
                <w:lang w:eastAsia="zh-CN"/>
              </w:rPr>
            </w:pPr>
            <w:r>
              <w:rPr>
                <w:rFonts w:hint="eastAsia"/>
                <w:b/>
                <w:szCs w:val="21"/>
                <w:lang w:val="en-US" w:eastAsia="zh-CN"/>
              </w:rPr>
              <w:t>4</w:t>
            </w:r>
          </w:p>
        </w:tc>
        <w:tc>
          <w:tcPr>
            <w:tcW w:w="1980" w:type="dxa"/>
            <w:vMerge w:val="restart"/>
            <w:vAlign w:val="center"/>
          </w:tcPr>
          <w:p w14:paraId="0CAC745A">
            <w:pPr>
              <w:jc w:val="center"/>
              <w:rPr>
                <w:rFonts w:hint="eastAsia"/>
                <w:b/>
                <w:szCs w:val="21"/>
                <w:lang w:val="en-US" w:eastAsia="zh-CN"/>
              </w:rPr>
            </w:pPr>
            <w:r>
              <w:rPr>
                <w:rFonts w:hint="eastAsia"/>
                <w:b/>
                <w:szCs w:val="21"/>
                <w:lang w:val="en-US" w:eastAsia="zh-CN"/>
              </w:rPr>
              <w:t>门灯</w:t>
            </w:r>
          </w:p>
        </w:tc>
        <w:tc>
          <w:tcPr>
            <w:tcW w:w="5580" w:type="dxa"/>
          </w:tcPr>
          <w:p w14:paraId="339490DD">
            <w:pPr>
              <w:spacing w:after="60"/>
              <w:rPr>
                <w:b/>
                <w:szCs w:val="21"/>
              </w:rPr>
            </w:pPr>
            <w:r>
              <w:rPr>
                <w:rFonts w:hint="eastAsia"/>
              </w:rPr>
              <w:t>1</w:t>
            </w:r>
            <w:r>
              <w:t>.</w:t>
            </w:r>
            <w:r>
              <w:rPr>
                <w:rFonts w:hint="eastAsia" w:ascii="宋体" w:hAnsi="宋体"/>
                <w:sz w:val="24"/>
              </w:rPr>
              <w:t xml:space="preserve"> </w:t>
            </w:r>
            <w:r>
              <w:rPr>
                <w:rFonts w:hint="eastAsia" w:ascii="宋体" w:hAnsi="宋体"/>
                <w:szCs w:val="21"/>
              </w:rPr>
              <w:t>七色门灯</w:t>
            </w:r>
          </w:p>
        </w:tc>
      </w:tr>
      <w:tr w14:paraId="6CD0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continue"/>
            <w:vAlign w:val="center"/>
          </w:tcPr>
          <w:p w14:paraId="660AE54A">
            <w:pPr>
              <w:jc w:val="center"/>
              <w:rPr>
                <w:rFonts w:hint="eastAsia"/>
                <w:b/>
                <w:szCs w:val="21"/>
              </w:rPr>
            </w:pPr>
          </w:p>
        </w:tc>
        <w:tc>
          <w:tcPr>
            <w:tcW w:w="1980" w:type="dxa"/>
            <w:vMerge w:val="continue"/>
            <w:vAlign w:val="center"/>
          </w:tcPr>
          <w:p w14:paraId="1B9B4FE5">
            <w:pPr>
              <w:jc w:val="center"/>
              <w:rPr>
                <w:rFonts w:hint="eastAsia"/>
                <w:b/>
                <w:szCs w:val="21"/>
                <w:lang w:val="en-US" w:eastAsia="zh-CN"/>
              </w:rPr>
            </w:pPr>
          </w:p>
        </w:tc>
        <w:tc>
          <w:tcPr>
            <w:tcW w:w="5580" w:type="dxa"/>
          </w:tcPr>
          <w:p w14:paraId="0CCF6DD4">
            <w:pPr>
              <w:spacing w:after="60"/>
              <w:rPr>
                <w:b/>
                <w:szCs w:val="21"/>
              </w:rPr>
            </w:pPr>
            <w:r>
              <w:rPr>
                <w:rFonts w:hint="eastAsia"/>
                <w:szCs w:val="21"/>
              </w:rPr>
              <w:t>2.</w:t>
            </w:r>
            <w:r>
              <w:rPr>
                <w:rFonts w:hint="eastAsia" w:ascii="宋体" w:hAnsi="宋体"/>
                <w:szCs w:val="21"/>
              </w:rPr>
              <w:t xml:space="preserve"> 安装在病室门口，可与房间关联</w:t>
            </w:r>
          </w:p>
        </w:tc>
      </w:tr>
      <w:tr w14:paraId="19C6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continue"/>
            <w:vAlign w:val="center"/>
          </w:tcPr>
          <w:p w14:paraId="07582588">
            <w:pPr>
              <w:jc w:val="center"/>
              <w:rPr>
                <w:rFonts w:hint="eastAsia"/>
                <w:b/>
                <w:szCs w:val="21"/>
              </w:rPr>
            </w:pPr>
          </w:p>
        </w:tc>
        <w:tc>
          <w:tcPr>
            <w:tcW w:w="1980" w:type="dxa"/>
            <w:vMerge w:val="continue"/>
            <w:vAlign w:val="center"/>
          </w:tcPr>
          <w:p w14:paraId="5E39195F">
            <w:pPr>
              <w:jc w:val="center"/>
              <w:rPr>
                <w:rFonts w:hint="eastAsia"/>
                <w:b/>
                <w:szCs w:val="21"/>
                <w:lang w:val="en-US" w:eastAsia="zh-CN"/>
              </w:rPr>
            </w:pPr>
          </w:p>
        </w:tc>
        <w:tc>
          <w:tcPr>
            <w:tcW w:w="5580" w:type="dxa"/>
          </w:tcPr>
          <w:p w14:paraId="69FBBE00">
            <w:pPr>
              <w:spacing w:after="60"/>
              <w:rPr>
                <w:b/>
                <w:szCs w:val="21"/>
              </w:rPr>
            </w:pPr>
            <w:r>
              <w:rPr>
                <w:rFonts w:hint="eastAsia"/>
                <w:szCs w:val="21"/>
              </w:rPr>
              <w:t>3.</w:t>
            </w:r>
            <w:r>
              <w:rPr>
                <w:rFonts w:hint="eastAsia" w:ascii="宋体" w:hAnsi="宋体"/>
                <w:szCs w:val="21"/>
              </w:rPr>
              <w:t xml:space="preserve"> 与房间内分机和紧急按钮关联</w:t>
            </w:r>
          </w:p>
        </w:tc>
      </w:tr>
      <w:tr w14:paraId="2A44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continue"/>
            <w:vAlign w:val="center"/>
          </w:tcPr>
          <w:p w14:paraId="6B960585">
            <w:pPr>
              <w:jc w:val="center"/>
              <w:rPr>
                <w:rFonts w:hint="eastAsia"/>
                <w:b/>
                <w:szCs w:val="21"/>
              </w:rPr>
            </w:pPr>
          </w:p>
        </w:tc>
        <w:tc>
          <w:tcPr>
            <w:tcW w:w="1980" w:type="dxa"/>
            <w:vMerge w:val="continue"/>
            <w:vAlign w:val="center"/>
          </w:tcPr>
          <w:p w14:paraId="233DD638">
            <w:pPr>
              <w:jc w:val="center"/>
              <w:rPr>
                <w:rFonts w:hint="eastAsia"/>
                <w:b/>
                <w:szCs w:val="21"/>
                <w:lang w:val="en-US" w:eastAsia="zh-CN"/>
              </w:rPr>
            </w:pPr>
          </w:p>
        </w:tc>
        <w:tc>
          <w:tcPr>
            <w:tcW w:w="5580" w:type="dxa"/>
          </w:tcPr>
          <w:p w14:paraId="2F20CD66">
            <w:pPr>
              <w:spacing w:after="60"/>
              <w:rPr>
                <w:b/>
                <w:szCs w:val="21"/>
              </w:rPr>
            </w:pPr>
            <w:r>
              <w:rPr>
                <w:rFonts w:hint="eastAsia"/>
              </w:rPr>
              <w:t>4.外</w:t>
            </w:r>
            <w:r>
              <w:t>观造型采用铝</w:t>
            </w:r>
            <w:r>
              <w:rPr>
                <w:rFonts w:hint="eastAsia"/>
              </w:rPr>
              <w:t>面</w:t>
            </w:r>
            <w:r>
              <w:t>板设计</w:t>
            </w:r>
          </w:p>
        </w:tc>
      </w:tr>
      <w:tr w14:paraId="0D5C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restart"/>
            <w:vAlign w:val="center"/>
          </w:tcPr>
          <w:p w14:paraId="2AADEFBA">
            <w:pPr>
              <w:jc w:val="center"/>
              <w:rPr>
                <w:rFonts w:hint="eastAsia"/>
                <w:b/>
                <w:szCs w:val="21"/>
                <w:lang w:eastAsia="zh-CN"/>
              </w:rPr>
            </w:pPr>
            <w:r>
              <w:rPr>
                <w:rFonts w:hint="eastAsia"/>
                <w:b/>
                <w:szCs w:val="21"/>
                <w:lang w:val="en-US" w:eastAsia="zh-CN"/>
              </w:rPr>
              <w:t>5</w:t>
            </w:r>
          </w:p>
        </w:tc>
        <w:tc>
          <w:tcPr>
            <w:tcW w:w="1980" w:type="dxa"/>
            <w:vMerge w:val="restart"/>
            <w:vAlign w:val="center"/>
          </w:tcPr>
          <w:p w14:paraId="66ACB0A8">
            <w:pPr>
              <w:jc w:val="center"/>
              <w:rPr>
                <w:rFonts w:hint="eastAsia"/>
                <w:b/>
                <w:szCs w:val="21"/>
                <w:lang w:val="en-US" w:eastAsia="zh-CN"/>
              </w:rPr>
            </w:pPr>
            <w:r>
              <w:rPr>
                <w:rFonts w:hint="eastAsia"/>
                <w:b/>
                <w:szCs w:val="21"/>
                <w:lang w:val="en-US" w:eastAsia="zh-CN"/>
              </w:rPr>
              <w:t>门口分机</w:t>
            </w:r>
          </w:p>
        </w:tc>
        <w:tc>
          <w:tcPr>
            <w:tcW w:w="5580" w:type="dxa"/>
          </w:tcPr>
          <w:p w14:paraId="288DD88A">
            <w:pPr>
              <w:rPr>
                <w:b/>
                <w:szCs w:val="21"/>
              </w:rPr>
            </w:pPr>
            <w:r>
              <w:rPr>
                <w:rFonts w:hint="eastAsia"/>
                <w:szCs w:val="21"/>
              </w:rPr>
              <w:t>1.</w:t>
            </w:r>
            <w:r>
              <w:rPr>
                <w:rFonts w:ascii="宋体" w:hAnsi="宋体" w:cs="宋体"/>
                <w:szCs w:val="21"/>
              </w:rPr>
              <w:t xml:space="preserve"> 屏幕尺寸</w:t>
            </w:r>
            <w:r>
              <w:rPr>
                <w:rFonts w:hint="eastAsia" w:ascii="宋体" w:hAnsi="宋体" w:eastAsia="宋体" w:cs="宋体"/>
                <w:b w:val="0"/>
                <w:bCs/>
                <w:sz w:val="21"/>
                <w:szCs w:val="21"/>
              </w:rPr>
              <w:t>≥</w:t>
            </w:r>
            <w:r>
              <w:rPr>
                <w:rFonts w:hint="eastAsia" w:ascii="宋体" w:hAnsi="宋体" w:cs="宋体"/>
                <w:szCs w:val="21"/>
              </w:rPr>
              <w:t>7</w:t>
            </w:r>
            <w:r>
              <w:rPr>
                <w:rFonts w:ascii="宋体" w:hAnsi="宋体" w:cs="宋体"/>
                <w:szCs w:val="21"/>
              </w:rPr>
              <w:t>英寸</w:t>
            </w:r>
            <w:r>
              <w:rPr>
                <w:rFonts w:hint="eastAsia" w:ascii="宋体" w:hAnsi="宋体" w:cs="宋体"/>
                <w:szCs w:val="21"/>
              </w:rPr>
              <w:t xml:space="preserve"> </w:t>
            </w:r>
            <w:r>
              <w:rPr>
                <w:rFonts w:hint="eastAsia" w:ascii="宋体" w:hAnsi="宋体" w:eastAsia="宋体" w:cs="宋体"/>
                <w:b w:val="0"/>
                <w:bCs/>
                <w:sz w:val="21"/>
                <w:szCs w:val="21"/>
              </w:rPr>
              <w:t>≥</w:t>
            </w:r>
            <w:r>
              <w:rPr>
                <w:rFonts w:hint="eastAsia" w:ascii="宋体" w:hAnsi="宋体" w:cs="宋体"/>
                <w:szCs w:val="21"/>
              </w:rPr>
              <w:t>280mm*194mm*2</w:t>
            </w:r>
          </w:p>
        </w:tc>
      </w:tr>
      <w:tr w14:paraId="04DD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4A22C48C">
            <w:pPr>
              <w:jc w:val="center"/>
              <w:rPr>
                <w:rFonts w:hint="eastAsia"/>
                <w:b/>
                <w:szCs w:val="21"/>
              </w:rPr>
            </w:pPr>
          </w:p>
        </w:tc>
        <w:tc>
          <w:tcPr>
            <w:tcW w:w="1980" w:type="dxa"/>
            <w:vMerge w:val="continue"/>
            <w:vAlign w:val="center"/>
          </w:tcPr>
          <w:p w14:paraId="1A65DC13">
            <w:pPr>
              <w:jc w:val="center"/>
              <w:rPr>
                <w:rFonts w:hint="eastAsia"/>
                <w:b/>
                <w:szCs w:val="21"/>
                <w:lang w:val="en-US" w:eastAsia="zh-CN"/>
              </w:rPr>
            </w:pPr>
          </w:p>
        </w:tc>
        <w:tc>
          <w:tcPr>
            <w:tcW w:w="5580" w:type="dxa"/>
          </w:tcPr>
          <w:p w14:paraId="22BCEBFF">
            <w:pPr>
              <w:spacing w:after="60"/>
              <w:rPr>
                <w:b/>
                <w:szCs w:val="21"/>
              </w:rPr>
            </w:pPr>
            <w:r>
              <w:rPr>
                <w:rFonts w:hint="eastAsia"/>
              </w:rPr>
              <w:t>2.</w:t>
            </w:r>
            <w:r>
              <w:rPr>
                <w:rFonts w:ascii="宋体" w:hAnsi="宋体" w:cs="宋体"/>
                <w:sz w:val="24"/>
              </w:rPr>
              <w:t xml:space="preserve"> </w:t>
            </w:r>
            <w:r>
              <w:rPr>
                <w:rFonts w:ascii="宋体" w:hAnsi="宋体" w:cs="宋体"/>
                <w:szCs w:val="21"/>
              </w:rPr>
              <w:t>采用</w:t>
            </w:r>
            <w:r>
              <w:rPr>
                <w:rFonts w:hint="eastAsia" w:ascii="宋体" w:hAnsi="宋体" w:cs="宋体"/>
                <w:szCs w:val="21"/>
              </w:rPr>
              <w:t>7</w:t>
            </w:r>
            <w:r>
              <w:rPr>
                <w:rFonts w:ascii="宋体" w:hAnsi="宋体" w:cs="宋体"/>
                <w:szCs w:val="21"/>
              </w:rPr>
              <w:t>色门灯提示本房间的护理级别，呼叫时常亮，</w:t>
            </w:r>
            <w:r>
              <w:rPr>
                <w:rFonts w:hint="eastAsia"/>
                <w:lang w:val="en-US" w:eastAsia="zh-CN"/>
              </w:rPr>
              <w:t>护理键处于护士进入状态时闪烁</w:t>
            </w:r>
          </w:p>
        </w:tc>
      </w:tr>
      <w:tr w14:paraId="23C4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170DCAA1">
            <w:pPr>
              <w:jc w:val="center"/>
              <w:rPr>
                <w:rFonts w:hint="eastAsia"/>
                <w:b/>
                <w:szCs w:val="21"/>
              </w:rPr>
            </w:pPr>
          </w:p>
        </w:tc>
        <w:tc>
          <w:tcPr>
            <w:tcW w:w="1980" w:type="dxa"/>
            <w:vMerge w:val="continue"/>
            <w:vAlign w:val="center"/>
          </w:tcPr>
          <w:p w14:paraId="6E805862">
            <w:pPr>
              <w:jc w:val="center"/>
              <w:rPr>
                <w:rFonts w:hint="eastAsia"/>
                <w:b/>
                <w:szCs w:val="21"/>
                <w:lang w:val="en-US" w:eastAsia="zh-CN"/>
              </w:rPr>
            </w:pPr>
          </w:p>
        </w:tc>
        <w:tc>
          <w:tcPr>
            <w:tcW w:w="5580" w:type="dxa"/>
          </w:tcPr>
          <w:p w14:paraId="754CB137">
            <w:pPr>
              <w:spacing w:after="60"/>
              <w:rPr>
                <w:b/>
                <w:szCs w:val="21"/>
              </w:rPr>
            </w:pPr>
            <w:r>
              <w:rPr>
                <w:rFonts w:hint="eastAsia"/>
              </w:rPr>
              <w:t>3.</w:t>
            </w:r>
            <w:r>
              <w:rPr>
                <w:rFonts w:ascii="宋体" w:hAnsi="宋体" w:cs="宋体"/>
                <w:sz w:val="24"/>
              </w:rPr>
              <w:t xml:space="preserve"> </w:t>
            </w:r>
            <w:r>
              <w:rPr>
                <w:rFonts w:ascii="宋体" w:hAnsi="宋体" w:cs="宋体"/>
                <w:szCs w:val="21"/>
              </w:rPr>
              <w:t>可显示病房号、床位号、患者名、责任护士、责任医生、医护照片等信息</w:t>
            </w:r>
          </w:p>
        </w:tc>
      </w:tr>
      <w:tr w14:paraId="3CCC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35231D5D">
            <w:pPr>
              <w:jc w:val="center"/>
              <w:rPr>
                <w:rFonts w:hint="eastAsia"/>
                <w:b/>
                <w:szCs w:val="21"/>
              </w:rPr>
            </w:pPr>
          </w:p>
        </w:tc>
        <w:tc>
          <w:tcPr>
            <w:tcW w:w="1980" w:type="dxa"/>
            <w:vMerge w:val="continue"/>
            <w:vAlign w:val="center"/>
          </w:tcPr>
          <w:p w14:paraId="157D9C59">
            <w:pPr>
              <w:jc w:val="center"/>
              <w:rPr>
                <w:rFonts w:hint="eastAsia"/>
                <w:b/>
                <w:szCs w:val="21"/>
                <w:lang w:val="en-US" w:eastAsia="zh-CN"/>
              </w:rPr>
            </w:pPr>
          </w:p>
        </w:tc>
        <w:tc>
          <w:tcPr>
            <w:tcW w:w="5580" w:type="dxa"/>
          </w:tcPr>
          <w:p w14:paraId="623ABF9B">
            <w:pPr>
              <w:spacing w:after="60"/>
              <w:rPr>
                <w:b/>
                <w:szCs w:val="21"/>
              </w:rPr>
            </w:pPr>
            <w:r>
              <w:t>4.</w:t>
            </w:r>
            <w:r>
              <w:rPr>
                <w:rFonts w:ascii="宋体" w:hAnsi="宋体" w:cs="宋体"/>
                <w:sz w:val="24"/>
              </w:rPr>
              <w:t xml:space="preserve"> </w:t>
            </w:r>
            <w:r>
              <w:rPr>
                <w:rFonts w:ascii="宋体" w:hAnsi="宋体" w:cs="宋体"/>
                <w:szCs w:val="21"/>
              </w:rPr>
              <w:t>支持通过护理键进行护士进入、护士离开操作</w:t>
            </w:r>
          </w:p>
        </w:tc>
      </w:tr>
      <w:tr w14:paraId="243B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47741E88">
            <w:pPr>
              <w:jc w:val="center"/>
              <w:rPr>
                <w:rFonts w:hint="eastAsia"/>
                <w:b/>
                <w:szCs w:val="21"/>
              </w:rPr>
            </w:pPr>
          </w:p>
        </w:tc>
        <w:tc>
          <w:tcPr>
            <w:tcW w:w="1980" w:type="dxa"/>
            <w:vMerge w:val="continue"/>
            <w:vAlign w:val="center"/>
          </w:tcPr>
          <w:p w14:paraId="7F44299C">
            <w:pPr>
              <w:jc w:val="center"/>
              <w:rPr>
                <w:rFonts w:hint="eastAsia"/>
                <w:b/>
                <w:szCs w:val="21"/>
                <w:lang w:val="en-US" w:eastAsia="zh-CN"/>
              </w:rPr>
            </w:pPr>
          </w:p>
        </w:tc>
        <w:tc>
          <w:tcPr>
            <w:tcW w:w="5580" w:type="dxa"/>
          </w:tcPr>
          <w:p w14:paraId="1E6B2401">
            <w:pPr>
              <w:spacing w:after="60"/>
              <w:rPr>
                <w:b/>
                <w:szCs w:val="21"/>
              </w:rPr>
            </w:pPr>
            <w:r>
              <w:t>5.</w:t>
            </w:r>
            <w:r>
              <w:rPr>
                <w:rFonts w:ascii="宋体" w:hAnsi="宋体" w:cs="宋体"/>
                <w:sz w:val="24"/>
              </w:rPr>
              <w:t xml:space="preserve"> </w:t>
            </w:r>
            <w:r>
              <w:rPr>
                <w:rFonts w:ascii="宋体" w:hAnsi="宋体" w:cs="宋体"/>
                <w:szCs w:val="21"/>
              </w:rPr>
              <w:t>支持护士定位，可提示和记录护士所在病房号</w:t>
            </w:r>
          </w:p>
        </w:tc>
      </w:tr>
      <w:tr w14:paraId="2888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2F3B3CB2">
            <w:pPr>
              <w:jc w:val="center"/>
              <w:rPr>
                <w:rFonts w:hint="eastAsia"/>
                <w:b/>
                <w:szCs w:val="21"/>
              </w:rPr>
            </w:pPr>
          </w:p>
        </w:tc>
        <w:tc>
          <w:tcPr>
            <w:tcW w:w="1980" w:type="dxa"/>
            <w:vMerge w:val="continue"/>
            <w:vAlign w:val="center"/>
          </w:tcPr>
          <w:p w14:paraId="796765E5">
            <w:pPr>
              <w:jc w:val="center"/>
              <w:rPr>
                <w:rFonts w:hint="eastAsia"/>
                <w:b/>
                <w:szCs w:val="21"/>
                <w:lang w:val="en-US" w:eastAsia="zh-CN"/>
              </w:rPr>
            </w:pPr>
          </w:p>
        </w:tc>
        <w:tc>
          <w:tcPr>
            <w:tcW w:w="5580" w:type="dxa"/>
          </w:tcPr>
          <w:p w14:paraId="525B2463">
            <w:pPr>
              <w:spacing w:after="60"/>
              <w:rPr>
                <w:b/>
                <w:szCs w:val="21"/>
              </w:rPr>
            </w:pPr>
            <w:r>
              <w:rPr>
                <w:rFonts w:hint="eastAsia" w:ascii="宋体" w:hAnsi="宋体" w:cs="宋体"/>
                <w:szCs w:val="21"/>
              </w:rPr>
              <w:t>6.</w:t>
            </w:r>
            <w:r>
              <w:rPr>
                <w:rFonts w:ascii="宋体" w:hAnsi="宋体" w:cs="宋体"/>
                <w:sz w:val="24"/>
              </w:rPr>
              <w:t xml:space="preserve"> </w:t>
            </w:r>
            <w:r>
              <w:rPr>
                <w:rFonts w:ascii="宋体" w:hAnsi="宋体" w:cs="宋体"/>
                <w:szCs w:val="21"/>
              </w:rPr>
              <w:t>支持显示呼叫消息、呼叫清除、增援呼叫等</w:t>
            </w:r>
          </w:p>
        </w:tc>
      </w:tr>
      <w:tr w14:paraId="7906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900" w:type="dxa"/>
            <w:vMerge w:val="restart"/>
            <w:vAlign w:val="center"/>
          </w:tcPr>
          <w:p w14:paraId="7C302822">
            <w:pPr>
              <w:jc w:val="center"/>
              <w:rPr>
                <w:rFonts w:hint="eastAsia"/>
                <w:b/>
                <w:szCs w:val="21"/>
                <w:lang w:val="en-US" w:eastAsia="zh-CN"/>
              </w:rPr>
            </w:pPr>
            <w:r>
              <w:rPr>
                <w:rFonts w:hint="eastAsia"/>
                <w:b/>
                <w:szCs w:val="21"/>
                <w:lang w:val="en-US" w:eastAsia="zh-CN"/>
              </w:rPr>
              <w:t>6</w:t>
            </w:r>
          </w:p>
        </w:tc>
        <w:tc>
          <w:tcPr>
            <w:tcW w:w="1980" w:type="dxa"/>
            <w:vMerge w:val="restart"/>
            <w:vAlign w:val="center"/>
          </w:tcPr>
          <w:p w14:paraId="03A5102B">
            <w:pPr>
              <w:jc w:val="center"/>
              <w:rPr>
                <w:rFonts w:hint="eastAsia"/>
                <w:b/>
                <w:szCs w:val="21"/>
                <w:lang w:val="en-US" w:eastAsia="zh-CN"/>
              </w:rPr>
            </w:pPr>
            <w:r>
              <w:rPr>
                <w:rFonts w:hint="eastAsia"/>
                <w:b/>
                <w:szCs w:val="21"/>
                <w:lang w:val="en-US" w:eastAsia="zh-CN"/>
              </w:rPr>
              <w:t>走廊显示屏</w:t>
            </w:r>
          </w:p>
        </w:tc>
        <w:tc>
          <w:tcPr>
            <w:tcW w:w="5580" w:type="dxa"/>
          </w:tcPr>
          <w:p w14:paraId="073D228F">
            <w:pPr>
              <w:spacing w:after="60"/>
              <w:rPr>
                <w:rFonts w:hint="eastAsia"/>
              </w:rPr>
            </w:pPr>
            <w:r>
              <w:rPr>
                <w:rFonts w:hint="eastAsia"/>
              </w:rPr>
              <w:t>1. 双面Φ3.75单红色点阵，可显示2行*8个汉字</w:t>
            </w:r>
          </w:p>
        </w:tc>
      </w:tr>
      <w:tr w14:paraId="61F0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900" w:type="dxa"/>
            <w:vMerge w:val="continue"/>
            <w:vAlign w:val="center"/>
          </w:tcPr>
          <w:p w14:paraId="3A3152CD">
            <w:pPr>
              <w:jc w:val="center"/>
              <w:rPr>
                <w:rFonts w:hint="eastAsia"/>
                <w:b/>
                <w:szCs w:val="21"/>
              </w:rPr>
            </w:pPr>
          </w:p>
        </w:tc>
        <w:tc>
          <w:tcPr>
            <w:tcW w:w="1980" w:type="dxa"/>
            <w:vMerge w:val="continue"/>
            <w:vAlign w:val="center"/>
          </w:tcPr>
          <w:p w14:paraId="522F8A87">
            <w:pPr>
              <w:jc w:val="center"/>
              <w:rPr>
                <w:rFonts w:hint="eastAsia"/>
                <w:b/>
                <w:szCs w:val="21"/>
                <w:lang w:val="en-US" w:eastAsia="zh-CN"/>
              </w:rPr>
            </w:pPr>
          </w:p>
        </w:tc>
        <w:tc>
          <w:tcPr>
            <w:tcW w:w="5580" w:type="dxa"/>
          </w:tcPr>
          <w:p w14:paraId="0D6BEC83">
            <w:pPr>
              <w:spacing w:after="60"/>
              <w:rPr>
                <w:rFonts w:hint="eastAsia"/>
              </w:rPr>
            </w:pPr>
            <w:r>
              <w:rPr>
                <w:rFonts w:hint="eastAsia"/>
              </w:rPr>
              <w:t>2. 呼叫时循环显示护理级别、房间号和床位号</w:t>
            </w:r>
          </w:p>
        </w:tc>
      </w:tr>
      <w:tr w14:paraId="6CABA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900" w:type="dxa"/>
            <w:vMerge w:val="continue"/>
            <w:vAlign w:val="center"/>
          </w:tcPr>
          <w:p w14:paraId="4F1DD3ED">
            <w:pPr>
              <w:jc w:val="center"/>
              <w:rPr>
                <w:rFonts w:hint="eastAsia"/>
                <w:b/>
                <w:szCs w:val="21"/>
              </w:rPr>
            </w:pPr>
          </w:p>
        </w:tc>
        <w:tc>
          <w:tcPr>
            <w:tcW w:w="1980" w:type="dxa"/>
            <w:vMerge w:val="continue"/>
            <w:vAlign w:val="center"/>
          </w:tcPr>
          <w:p w14:paraId="482A6423">
            <w:pPr>
              <w:jc w:val="center"/>
              <w:rPr>
                <w:rFonts w:hint="eastAsia"/>
                <w:b/>
                <w:szCs w:val="21"/>
                <w:lang w:val="en-US" w:eastAsia="zh-CN"/>
              </w:rPr>
            </w:pPr>
          </w:p>
        </w:tc>
        <w:tc>
          <w:tcPr>
            <w:tcW w:w="5580" w:type="dxa"/>
          </w:tcPr>
          <w:p w14:paraId="6D2094E5">
            <w:pPr>
              <w:spacing w:after="60"/>
              <w:rPr>
                <w:rFonts w:hint="eastAsia"/>
              </w:rPr>
            </w:pPr>
            <w:r>
              <w:rPr>
                <w:rFonts w:hint="eastAsia"/>
              </w:rPr>
              <w:t>3. 待机时滚动显示日期、时间、护士位置、温馨提示等内容</w:t>
            </w:r>
          </w:p>
        </w:tc>
      </w:tr>
      <w:tr w14:paraId="5569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restart"/>
            <w:vAlign w:val="center"/>
          </w:tcPr>
          <w:p w14:paraId="64F89ACA">
            <w:pPr>
              <w:jc w:val="center"/>
              <w:rPr>
                <w:rFonts w:hint="eastAsia"/>
                <w:b/>
                <w:szCs w:val="21"/>
                <w:lang w:val="en-US" w:eastAsia="zh-CN"/>
              </w:rPr>
            </w:pPr>
            <w:r>
              <w:rPr>
                <w:rFonts w:hint="eastAsia"/>
                <w:b/>
                <w:szCs w:val="21"/>
                <w:lang w:val="en-US" w:eastAsia="zh-CN"/>
              </w:rPr>
              <w:t>7</w:t>
            </w:r>
          </w:p>
        </w:tc>
        <w:tc>
          <w:tcPr>
            <w:tcW w:w="1980" w:type="dxa"/>
            <w:vMerge w:val="restart"/>
            <w:vAlign w:val="center"/>
          </w:tcPr>
          <w:p w14:paraId="3273ECB1">
            <w:pPr>
              <w:jc w:val="center"/>
              <w:rPr>
                <w:rFonts w:hint="eastAsia"/>
                <w:b/>
                <w:szCs w:val="21"/>
                <w:lang w:val="en-US" w:eastAsia="zh-CN"/>
              </w:rPr>
            </w:pPr>
            <w:r>
              <w:rPr>
                <w:rFonts w:hint="eastAsia"/>
                <w:b/>
                <w:szCs w:val="21"/>
                <w:lang w:val="en-US" w:eastAsia="zh-CN"/>
              </w:rPr>
              <w:t>卫生间分机</w:t>
            </w:r>
          </w:p>
        </w:tc>
        <w:tc>
          <w:tcPr>
            <w:tcW w:w="5580" w:type="dxa"/>
          </w:tcPr>
          <w:p w14:paraId="0A0D2E34">
            <w:pPr>
              <w:numPr>
                <w:ilvl w:val="0"/>
                <w:numId w:val="19"/>
              </w:numPr>
              <w:spacing w:after="60"/>
              <w:rPr>
                <w:rFonts w:hint="eastAsia"/>
              </w:rPr>
            </w:pPr>
            <w:r>
              <w:rPr>
                <w:rFonts w:hint="eastAsia"/>
              </w:rPr>
              <w:t>紧急情况的呼叫设计，优先级最高呼叫时有明显的声光报警提示</w:t>
            </w:r>
          </w:p>
        </w:tc>
      </w:tr>
      <w:tr w14:paraId="57A3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continue"/>
            <w:vAlign w:val="center"/>
          </w:tcPr>
          <w:p w14:paraId="41E906CC">
            <w:pPr>
              <w:jc w:val="center"/>
              <w:rPr>
                <w:rFonts w:hint="eastAsia"/>
                <w:b/>
                <w:szCs w:val="21"/>
              </w:rPr>
            </w:pPr>
          </w:p>
        </w:tc>
        <w:tc>
          <w:tcPr>
            <w:tcW w:w="1980" w:type="dxa"/>
            <w:vMerge w:val="continue"/>
            <w:vAlign w:val="center"/>
          </w:tcPr>
          <w:p w14:paraId="30503DA7">
            <w:pPr>
              <w:jc w:val="center"/>
              <w:rPr>
                <w:rFonts w:hint="eastAsia"/>
                <w:b/>
                <w:szCs w:val="21"/>
                <w:lang w:val="en-US" w:eastAsia="zh-CN"/>
              </w:rPr>
            </w:pPr>
          </w:p>
        </w:tc>
        <w:tc>
          <w:tcPr>
            <w:tcW w:w="5580" w:type="dxa"/>
          </w:tcPr>
          <w:p w14:paraId="294EACC2">
            <w:pPr>
              <w:spacing w:after="60"/>
              <w:rPr>
                <w:rFonts w:hint="eastAsia"/>
              </w:rPr>
            </w:pPr>
            <w:r>
              <w:rPr>
                <w:rFonts w:hint="eastAsia"/>
              </w:rPr>
              <w:t xml:space="preserve">2. </w:t>
            </w:r>
            <w:r>
              <w:rPr>
                <w:rFonts w:hint="eastAsia"/>
                <w:lang w:val="en-US" w:eastAsia="zh-CN"/>
              </w:rPr>
              <w:t xml:space="preserve"> </w:t>
            </w:r>
            <w:r>
              <w:rPr>
                <w:rFonts w:hint="eastAsia"/>
              </w:rPr>
              <w:t>IP68防护等级，防水、防尘工艺设计</w:t>
            </w:r>
          </w:p>
        </w:tc>
      </w:tr>
      <w:tr w14:paraId="1F5B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14:paraId="07874959">
            <w:pPr>
              <w:jc w:val="center"/>
              <w:rPr>
                <w:rFonts w:hint="eastAsia"/>
                <w:b/>
                <w:szCs w:val="21"/>
              </w:rPr>
            </w:pPr>
          </w:p>
        </w:tc>
        <w:tc>
          <w:tcPr>
            <w:tcW w:w="1980" w:type="dxa"/>
            <w:vMerge w:val="continue"/>
            <w:vAlign w:val="center"/>
          </w:tcPr>
          <w:p w14:paraId="76E7B652">
            <w:pPr>
              <w:jc w:val="center"/>
              <w:rPr>
                <w:rFonts w:hint="eastAsia"/>
                <w:b/>
                <w:szCs w:val="21"/>
                <w:lang w:val="en-US" w:eastAsia="zh-CN"/>
              </w:rPr>
            </w:pPr>
          </w:p>
        </w:tc>
        <w:tc>
          <w:tcPr>
            <w:tcW w:w="5580" w:type="dxa"/>
          </w:tcPr>
          <w:p w14:paraId="1250F1DA">
            <w:pPr>
              <w:spacing w:after="60"/>
              <w:rPr>
                <w:rFonts w:hint="eastAsia"/>
              </w:rPr>
            </w:pPr>
            <w:r>
              <w:rPr>
                <w:rFonts w:hint="eastAsia"/>
              </w:rPr>
              <w:t>3. 有专用取消按键，便于及时清除误操作。</w:t>
            </w:r>
          </w:p>
        </w:tc>
      </w:tr>
      <w:tr w14:paraId="52FA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900" w:type="dxa"/>
            <w:vMerge w:val="continue"/>
            <w:vAlign w:val="center"/>
          </w:tcPr>
          <w:p w14:paraId="3A837AAC">
            <w:pPr>
              <w:jc w:val="center"/>
              <w:rPr>
                <w:rFonts w:hint="eastAsia"/>
                <w:b/>
                <w:szCs w:val="21"/>
              </w:rPr>
            </w:pPr>
          </w:p>
        </w:tc>
        <w:tc>
          <w:tcPr>
            <w:tcW w:w="1980" w:type="dxa"/>
            <w:vMerge w:val="continue"/>
            <w:vAlign w:val="center"/>
          </w:tcPr>
          <w:p w14:paraId="77FB2499">
            <w:pPr>
              <w:jc w:val="center"/>
              <w:rPr>
                <w:rFonts w:hint="eastAsia"/>
                <w:b/>
                <w:szCs w:val="21"/>
                <w:lang w:val="en-US" w:eastAsia="zh-CN"/>
              </w:rPr>
            </w:pPr>
          </w:p>
        </w:tc>
        <w:tc>
          <w:tcPr>
            <w:tcW w:w="5580" w:type="dxa"/>
          </w:tcPr>
          <w:p w14:paraId="46FAD28E">
            <w:pPr>
              <w:spacing w:after="60"/>
              <w:rPr>
                <w:rFonts w:hint="eastAsia"/>
              </w:rPr>
            </w:pPr>
            <w:r>
              <w:rPr>
                <w:rFonts w:hint="eastAsia"/>
              </w:rPr>
              <w:t>4. 超大红色显著紧急呼叫按钮及拉绳设计</w:t>
            </w:r>
          </w:p>
        </w:tc>
      </w:tr>
      <w:tr w14:paraId="6871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restart"/>
            <w:vAlign w:val="center"/>
          </w:tcPr>
          <w:p w14:paraId="07E0A4E1">
            <w:pPr>
              <w:jc w:val="center"/>
              <w:rPr>
                <w:rFonts w:hint="eastAsia"/>
                <w:b/>
                <w:szCs w:val="21"/>
                <w:lang w:val="en-US" w:eastAsia="zh-CN"/>
              </w:rPr>
            </w:pPr>
            <w:r>
              <w:rPr>
                <w:rFonts w:hint="eastAsia"/>
                <w:b/>
                <w:szCs w:val="21"/>
                <w:lang w:val="en-US" w:eastAsia="zh-CN"/>
              </w:rPr>
              <w:t>8</w:t>
            </w:r>
          </w:p>
        </w:tc>
        <w:tc>
          <w:tcPr>
            <w:tcW w:w="1980" w:type="dxa"/>
            <w:vMerge w:val="restart"/>
            <w:vAlign w:val="center"/>
          </w:tcPr>
          <w:p w14:paraId="50982B10">
            <w:pPr>
              <w:jc w:val="center"/>
              <w:rPr>
                <w:rFonts w:hint="eastAsia"/>
                <w:b/>
                <w:szCs w:val="21"/>
                <w:lang w:val="en-US" w:eastAsia="zh-CN"/>
              </w:rPr>
            </w:pPr>
            <w:r>
              <w:rPr>
                <w:rFonts w:hint="eastAsia"/>
                <w:b/>
                <w:szCs w:val="21"/>
                <w:lang w:val="en-US" w:eastAsia="zh-CN"/>
              </w:rPr>
              <w:t>值班（治疗）室分机</w:t>
            </w:r>
          </w:p>
        </w:tc>
        <w:tc>
          <w:tcPr>
            <w:tcW w:w="5580" w:type="dxa"/>
          </w:tcPr>
          <w:p w14:paraId="1DF0C70D">
            <w:pPr>
              <w:numPr>
                <w:ilvl w:val="0"/>
                <w:numId w:val="0"/>
              </w:numPr>
              <w:spacing w:after="60"/>
              <w:rPr>
                <w:rFonts w:hint="eastAsia"/>
              </w:rPr>
            </w:pPr>
            <w:r>
              <w:rPr>
                <w:rFonts w:hint="eastAsia" w:ascii="Calibri" w:hAnsi="Calibri" w:eastAsia="宋体" w:cs="Times New Roman"/>
                <w:kern w:val="2"/>
                <w:sz w:val="21"/>
                <w:szCs w:val="22"/>
                <w:lang w:val="en-US" w:eastAsia="zh-CN" w:bidi="ar-SA"/>
              </w:rPr>
              <w:t>1.</w:t>
            </w:r>
            <w:r>
              <w:rPr>
                <w:rFonts w:hint="eastAsia"/>
              </w:rPr>
              <w:t>屏幕尺寸</w:t>
            </w:r>
            <w:r>
              <w:rPr>
                <w:rFonts w:hint="eastAsia" w:ascii="宋体" w:hAnsi="宋体" w:eastAsia="宋体" w:cs="宋体"/>
                <w:b w:val="0"/>
                <w:bCs/>
                <w:sz w:val="21"/>
                <w:szCs w:val="21"/>
              </w:rPr>
              <w:t>≥</w:t>
            </w:r>
            <w:r>
              <w:rPr>
                <w:rFonts w:hint="eastAsia"/>
              </w:rPr>
              <w:t xml:space="preserve"> 3.5英寸 123mm*105mm*17mm</w:t>
            </w:r>
          </w:p>
        </w:tc>
      </w:tr>
      <w:tr w14:paraId="6AB4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622E5DAE">
            <w:pPr>
              <w:jc w:val="center"/>
              <w:rPr>
                <w:rFonts w:hint="eastAsia"/>
                <w:b/>
                <w:szCs w:val="21"/>
              </w:rPr>
            </w:pPr>
          </w:p>
        </w:tc>
        <w:tc>
          <w:tcPr>
            <w:tcW w:w="1980" w:type="dxa"/>
            <w:vMerge w:val="continue"/>
            <w:vAlign w:val="center"/>
          </w:tcPr>
          <w:p w14:paraId="243CBF4F">
            <w:pPr>
              <w:jc w:val="center"/>
              <w:rPr>
                <w:rFonts w:hint="eastAsia"/>
                <w:b/>
                <w:szCs w:val="21"/>
                <w:lang w:val="en-US" w:eastAsia="zh-CN"/>
              </w:rPr>
            </w:pPr>
          </w:p>
        </w:tc>
        <w:tc>
          <w:tcPr>
            <w:tcW w:w="5580" w:type="dxa"/>
          </w:tcPr>
          <w:p w14:paraId="3E516B0B">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2.</w:t>
            </w:r>
            <w:r>
              <w:rPr>
                <w:rFonts w:hint="eastAsia"/>
              </w:rPr>
              <w:t>能够接收到分机呼叫、增援请求，并支持与床头分机进行对讲</w:t>
            </w:r>
          </w:p>
        </w:tc>
      </w:tr>
      <w:tr w14:paraId="5BB9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21C9F54B">
            <w:pPr>
              <w:jc w:val="center"/>
              <w:rPr>
                <w:rFonts w:hint="eastAsia"/>
                <w:b/>
                <w:szCs w:val="21"/>
              </w:rPr>
            </w:pPr>
          </w:p>
        </w:tc>
        <w:tc>
          <w:tcPr>
            <w:tcW w:w="1980" w:type="dxa"/>
            <w:vMerge w:val="continue"/>
            <w:vAlign w:val="center"/>
          </w:tcPr>
          <w:p w14:paraId="0148683E">
            <w:pPr>
              <w:jc w:val="center"/>
              <w:rPr>
                <w:rFonts w:hint="eastAsia"/>
                <w:b/>
                <w:szCs w:val="21"/>
                <w:lang w:val="en-US" w:eastAsia="zh-CN"/>
              </w:rPr>
            </w:pPr>
          </w:p>
        </w:tc>
        <w:tc>
          <w:tcPr>
            <w:tcW w:w="5580" w:type="dxa"/>
          </w:tcPr>
          <w:p w14:paraId="4D830593">
            <w:pPr>
              <w:spacing w:after="60"/>
              <w:rPr>
                <w:rFonts w:hint="eastAsia"/>
              </w:rPr>
            </w:pPr>
            <w:r>
              <w:rPr>
                <w:rFonts w:hint="eastAsia"/>
              </w:rPr>
              <w:t>3. 支持与护士站医护主机进行呼叫对讲</w:t>
            </w:r>
          </w:p>
        </w:tc>
      </w:tr>
      <w:tr w14:paraId="33DA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602223C9">
            <w:pPr>
              <w:jc w:val="center"/>
              <w:rPr>
                <w:rFonts w:hint="eastAsia"/>
                <w:b/>
                <w:szCs w:val="21"/>
              </w:rPr>
            </w:pPr>
          </w:p>
        </w:tc>
        <w:tc>
          <w:tcPr>
            <w:tcW w:w="1980" w:type="dxa"/>
            <w:vMerge w:val="continue"/>
            <w:vAlign w:val="center"/>
          </w:tcPr>
          <w:p w14:paraId="2C6DF37A">
            <w:pPr>
              <w:jc w:val="center"/>
              <w:rPr>
                <w:rFonts w:hint="eastAsia"/>
                <w:b/>
                <w:szCs w:val="21"/>
                <w:lang w:val="en-US" w:eastAsia="zh-CN"/>
              </w:rPr>
            </w:pPr>
          </w:p>
        </w:tc>
        <w:tc>
          <w:tcPr>
            <w:tcW w:w="5580" w:type="dxa"/>
          </w:tcPr>
          <w:p w14:paraId="6C626259">
            <w:pPr>
              <w:spacing w:after="60"/>
              <w:rPr>
                <w:rFonts w:hint="eastAsia"/>
              </w:rPr>
            </w:pPr>
            <w:r>
              <w:rPr>
                <w:rFonts w:hint="eastAsia"/>
              </w:rPr>
              <w:t>4. 支持未处理呼叫进行清除操作</w:t>
            </w:r>
          </w:p>
        </w:tc>
      </w:tr>
      <w:tr w14:paraId="72F6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181B60F4">
            <w:pPr>
              <w:jc w:val="center"/>
              <w:rPr>
                <w:rFonts w:hint="eastAsia"/>
                <w:b/>
                <w:szCs w:val="21"/>
              </w:rPr>
            </w:pPr>
          </w:p>
        </w:tc>
        <w:tc>
          <w:tcPr>
            <w:tcW w:w="1980" w:type="dxa"/>
            <w:vMerge w:val="continue"/>
            <w:vAlign w:val="center"/>
          </w:tcPr>
          <w:p w14:paraId="3814DB1A">
            <w:pPr>
              <w:jc w:val="center"/>
              <w:rPr>
                <w:rFonts w:hint="eastAsia"/>
                <w:b/>
                <w:szCs w:val="21"/>
                <w:lang w:val="en-US" w:eastAsia="zh-CN"/>
              </w:rPr>
            </w:pPr>
          </w:p>
        </w:tc>
        <w:tc>
          <w:tcPr>
            <w:tcW w:w="5580" w:type="dxa"/>
          </w:tcPr>
          <w:p w14:paraId="32A2A043">
            <w:pPr>
              <w:spacing w:after="60"/>
              <w:rPr>
                <w:rFonts w:hint="eastAsia"/>
              </w:rPr>
            </w:pPr>
            <w:r>
              <w:rPr>
                <w:rFonts w:hint="eastAsia"/>
              </w:rPr>
              <w:t>5. 支持对全病区进行广播功能</w:t>
            </w:r>
          </w:p>
        </w:tc>
      </w:tr>
      <w:tr w14:paraId="41D6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00" w:type="dxa"/>
            <w:vMerge w:val="continue"/>
            <w:vAlign w:val="center"/>
          </w:tcPr>
          <w:p w14:paraId="36C945E3">
            <w:pPr>
              <w:jc w:val="center"/>
              <w:rPr>
                <w:rFonts w:hint="eastAsia"/>
                <w:b/>
                <w:szCs w:val="21"/>
              </w:rPr>
            </w:pPr>
          </w:p>
        </w:tc>
        <w:tc>
          <w:tcPr>
            <w:tcW w:w="1980" w:type="dxa"/>
            <w:vMerge w:val="continue"/>
            <w:vAlign w:val="center"/>
          </w:tcPr>
          <w:p w14:paraId="02F54227">
            <w:pPr>
              <w:jc w:val="center"/>
              <w:rPr>
                <w:rFonts w:hint="eastAsia"/>
                <w:b/>
                <w:szCs w:val="21"/>
                <w:lang w:val="en-US" w:eastAsia="zh-CN"/>
              </w:rPr>
            </w:pPr>
          </w:p>
        </w:tc>
        <w:tc>
          <w:tcPr>
            <w:tcW w:w="5580" w:type="dxa"/>
          </w:tcPr>
          <w:p w14:paraId="43099607">
            <w:pPr>
              <w:spacing w:after="60"/>
              <w:rPr>
                <w:rFonts w:hint="eastAsia"/>
              </w:rPr>
            </w:pPr>
            <w:r>
              <w:rPr>
                <w:rFonts w:hint="eastAsia"/>
              </w:rPr>
              <w:t>6．屏幕分辨率</w:t>
            </w:r>
            <w:r>
              <w:rPr>
                <w:rFonts w:hint="eastAsia" w:ascii="宋体" w:hAnsi="宋体" w:eastAsia="宋体" w:cs="宋体"/>
                <w:b w:val="0"/>
                <w:bCs/>
                <w:sz w:val="21"/>
                <w:szCs w:val="21"/>
              </w:rPr>
              <w:t>≥</w:t>
            </w:r>
            <w:r>
              <w:rPr>
                <w:rFonts w:hint="eastAsia"/>
              </w:rPr>
              <w:t xml:space="preserve"> 320*240</w:t>
            </w:r>
          </w:p>
        </w:tc>
      </w:tr>
      <w:tr w14:paraId="3A14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restart"/>
            <w:vAlign w:val="center"/>
          </w:tcPr>
          <w:p w14:paraId="6AFA7C0E">
            <w:pPr>
              <w:jc w:val="center"/>
              <w:rPr>
                <w:rFonts w:hint="eastAsia"/>
                <w:b/>
                <w:szCs w:val="21"/>
                <w:lang w:val="en-US" w:eastAsia="zh-CN"/>
              </w:rPr>
            </w:pPr>
            <w:r>
              <w:rPr>
                <w:rFonts w:hint="eastAsia"/>
                <w:b/>
                <w:szCs w:val="21"/>
                <w:lang w:val="en-US" w:eastAsia="zh-CN"/>
              </w:rPr>
              <w:t>9</w:t>
            </w:r>
          </w:p>
        </w:tc>
        <w:tc>
          <w:tcPr>
            <w:tcW w:w="1980" w:type="dxa"/>
            <w:vMerge w:val="restart"/>
            <w:vAlign w:val="center"/>
          </w:tcPr>
          <w:p w14:paraId="60516FE7">
            <w:pPr>
              <w:jc w:val="center"/>
              <w:rPr>
                <w:rFonts w:hint="eastAsia"/>
                <w:b/>
                <w:szCs w:val="21"/>
                <w:lang w:val="en-US" w:eastAsia="zh-CN"/>
              </w:rPr>
            </w:pPr>
            <w:r>
              <w:rPr>
                <w:rFonts w:hint="eastAsia"/>
                <w:b/>
                <w:szCs w:val="21"/>
                <w:lang w:val="en-US" w:eastAsia="zh-CN"/>
              </w:rPr>
              <w:t>软件服务</w:t>
            </w:r>
          </w:p>
        </w:tc>
        <w:tc>
          <w:tcPr>
            <w:tcW w:w="5580" w:type="dxa"/>
          </w:tcPr>
          <w:p w14:paraId="46FD728D">
            <w:pPr>
              <w:spacing w:after="60"/>
              <w:rPr>
                <w:rFonts w:hint="eastAsia"/>
              </w:rPr>
            </w:pPr>
            <w:r>
              <w:rPr>
                <w:rFonts w:hint="eastAsia"/>
              </w:rPr>
              <w:t>1. 基于B/S架构，支持床位和房间一览表管理与显示，支持住院人数、护理级别人数统计和关键字搜索，可完成入院登记、出院、换床、欠费催缴、服药提醒</w:t>
            </w:r>
          </w:p>
        </w:tc>
      </w:tr>
      <w:tr w14:paraId="5D96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continue"/>
            <w:vAlign w:val="center"/>
          </w:tcPr>
          <w:p w14:paraId="34CEBBA7">
            <w:pPr>
              <w:jc w:val="center"/>
              <w:rPr>
                <w:rFonts w:hint="eastAsia"/>
                <w:b/>
                <w:szCs w:val="21"/>
              </w:rPr>
            </w:pPr>
          </w:p>
        </w:tc>
        <w:tc>
          <w:tcPr>
            <w:tcW w:w="1980" w:type="dxa"/>
            <w:vMerge w:val="continue"/>
            <w:vAlign w:val="center"/>
          </w:tcPr>
          <w:p w14:paraId="07075EC2">
            <w:pPr>
              <w:jc w:val="center"/>
              <w:rPr>
                <w:rFonts w:hint="eastAsia"/>
                <w:b/>
                <w:szCs w:val="21"/>
                <w:lang w:val="en-US" w:eastAsia="zh-CN"/>
              </w:rPr>
            </w:pPr>
          </w:p>
        </w:tc>
        <w:tc>
          <w:tcPr>
            <w:tcW w:w="5580" w:type="dxa"/>
          </w:tcPr>
          <w:p w14:paraId="45266570">
            <w:pPr>
              <w:spacing w:after="60"/>
              <w:rPr>
                <w:rFonts w:hint="eastAsia"/>
              </w:rPr>
            </w:pPr>
            <w:r>
              <w:rPr>
                <w:rFonts w:hint="eastAsia"/>
              </w:rPr>
              <w:t xml:space="preserve">2. </w:t>
            </w:r>
            <w:r>
              <w:rPr>
                <w:rFonts w:hint="eastAsia"/>
                <w:lang w:val="en-US" w:eastAsia="zh-CN"/>
              </w:rPr>
              <w:t>支持二维码扫描编辑及观病历等功能</w:t>
            </w:r>
            <w:r>
              <w:rPr>
                <w:rFonts w:hint="eastAsia"/>
              </w:rPr>
              <w:t>。提供床头、门口、信息看板等图形用户界面的在线编辑工具，支持日常呼叫护理记录查询、导出和录音回放，具有完善的医护人员排班、病区公告信息、护理标识预警颜色等管理功能</w:t>
            </w:r>
          </w:p>
        </w:tc>
      </w:tr>
      <w:tr w14:paraId="4829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continue"/>
            <w:vAlign w:val="center"/>
          </w:tcPr>
          <w:p w14:paraId="0390DF6C">
            <w:pPr>
              <w:jc w:val="center"/>
              <w:rPr>
                <w:rFonts w:hint="eastAsia"/>
                <w:b/>
                <w:szCs w:val="21"/>
              </w:rPr>
            </w:pPr>
          </w:p>
        </w:tc>
        <w:tc>
          <w:tcPr>
            <w:tcW w:w="1980" w:type="dxa"/>
            <w:vMerge w:val="continue"/>
            <w:vAlign w:val="center"/>
          </w:tcPr>
          <w:p w14:paraId="21E82782">
            <w:pPr>
              <w:jc w:val="center"/>
              <w:rPr>
                <w:rFonts w:hint="eastAsia"/>
                <w:b/>
                <w:szCs w:val="21"/>
                <w:lang w:val="en-US" w:eastAsia="zh-CN"/>
              </w:rPr>
            </w:pPr>
          </w:p>
        </w:tc>
        <w:tc>
          <w:tcPr>
            <w:tcW w:w="5580" w:type="dxa"/>
          </w:tcPr>
          <w:p w14:paraId="4D67D084">
            <w:pPr>
              <w:spacing w:after="60"/>
              <w:rPr>
                <w:rFonts w:hint="eastAsia"/>
              </w:rPr>
            </w:pPr>
            <w:r>
              <w:rPr>
                <w:rFonts w:hint="eastAsia"/>
              </w:rPr>
              <w:t>3. 基于B/S架构，通过护士长或院领导账号可登录到系统WEB页面查看自己科室或全院的呼叫数据统计分析，可根据要求进行呼叫信息的实时记录，提供呼叫频次、应答时间、呼叫量对比图、入住统计图、患者信息统计、房间对比图、入住统计图、患者信息统计、房间对比图、床位对比图等指标进行汇总分析</w:t>
            </w:r>
          </w:p>
        </w:tc>
      </w:tr>
      <w:tr w14:paraId="7CEE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continue"/>
            <w:vAlign w:val="center"/>
          </w:tcPr>
          <w:p w14:paraId="7BF063DB">
            <w:pPr>
              <w:jc w:val="center"/>
              <w:rPr>
                <w:rFonts w:hint="eastAsia"/>
                <w:b/>
                <w:szCs w:val="21"/>
              </w:rPr>
            </w:pPr>
          </w:p>
        </w:tc>
        <w:tc>
          <w:tcPr>
            <w:tcW w:w="1980" w:type="dxa"/>
            <w:vMerge w:val="continue"/>
            <w:vAlign w:val="center"/>
          </w:tcPr>
          <w:p w14:paraId="19F9AD50">
            <w:pPr>
              <w:jc w:val="center"/>
              <w:rPr>
                <w:rFonts w:hint="eastAsia"/>
                <w:b/>
                <w:szCs w:val="21"/>
                <w:lang w:val="en-US" w:eastAsia="zh-CN"/>
              </w:rPr>
            </w:pPr>
          </w:p>
        </w:tc>
        <w:tc>
          <w:tcPr>
            <w:tcW w:w="5580" w:type="dxa"/>
          </w:tcPr>
          <w:p w14:paraId="654CD8E5">
            <w:pPr>
              <w:spacing w:after="60"/>
              <w:rPr>
                <w:rFonts w:hint="eastAsia"/>
              </w:rPr>
            </w:pPr>
            <w:r>
              <w:rPr>
                <w:rFonts w:hint="eastAsia"/>
              </w:rPr>
              <w:t xml:space="preserve">4. </w:t>
            </w:r>
            <w:r>
              <w:rPr>
                <w:rFonts w:hint="eastAsia"/>
                <w:lang w:val="en-US" w:eastAsia="zh-CN"/>
              </w:rPr>
              <w:t>支持</w:t>
            </w:r>
            <w:r>
              <w:rPr>
                <w:rFonts w:hint="eastAsia"/>
              </w:rPr>
              <w:t>护士站液晶电视</w:t>
            </w:r>
            <w:r>
              <w:rPr>
                <w:rFonts w:hint="eastAsia"/>
                <w:lang w:val="en-US" w:eastAsia="zh-CN"/>
              </w:rPr>
              <w:t>显示</w:t>
            </w:r>
            <w:r>
              <w:rPr>
                <w:rFonts w:hint="eastAsia"/>
              </w:rPr>
              <w:t>，可显示床位一览表和实时呼叫信息，也可显示护理工作一览表，包括病区当日患者流动、住院人数、病危病重、手术安排、值班医生、要事留言等信息</w:t>
            </w:r>
          </w:p>
        </w:tc>
      </w:tr>
      <w:tr w14:paraId="29E6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continue"/>
            <w:vAlign w:val="center"/>
          </w:tcPr>
          <w:p w14:paraId="65D64334">
            <w:pPr>
              <w:jc w:val="center"/>
              <w:rPr>
                <w:rFonts w:hint="eastAsia"/>
                <w:b/>
                <w:szCs w:val="21"/>
              </w:rPr>
            </w:pPr>
          </w:p>
        </w:tc>
        <w:tc>
          <w:tcPr>
            <w:tcW w:w="1980" w:type="dxa"/>
            <w:vMerge w:val="continue"/>
            <w:vAlign w:val="center"/>
          </w:tcPr>
          <w:p w14:paraId="18B8820A">
            <w:pPr>
              <w:jc w:val="center"/>
              <w:rPr>
                <w:rFonts w:hint="eastAsia"/>
                <w:b/>
                <w:szCs w:val="21"/>
                <w:lang w:val="en-US" w:eastAsia="zh-CN"/>
              </w:rPr>
            </w:pPr>
          </w:p>
        </w:tc>
        <w:tc>
          <w:tcPr>
            <w:tcW w:w="5580" w:type="dxa"/>
          </w:tcPr>
          <w:p w14:paraId="75B33065">
            <w:pPr>
              <w:spacing w:after="60"/>
              <w:rPr>
                <w:rFonts w:hint="eastAsia"/>
              </w:rPr>
            </w:pPr>
            <w:r>
              <w:rPr>
                <w:rFonts w:hint="eastAsia"/>
              </w:rPr>
              <w:t>5. 可在总值班室或呼叫中心使用，实时监控各病区的呼叫处理情况，直观显示各病区的床位及入住情况。</w:t>
            </w:r>
          </w:p>
        </w:tc>
      </w:tr>
      <w:tr w14:paraId="3629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Merge w:val="continue"/>
            <w:vAlign w:val="center"/>
          </w:tcPr>
          <w:p w14:paraId="59D308E6">
            <w:pPr>
              <w:jc w:val="center"/>
              <w:rPr>
                <w:rFonts w:hint="eastAsia"/>
                <w:b/>
                <w:szCs w:val="21"/>
              </w:rPr>
            </w:pPr>
          </w:p>
        </w:tc>
        <w:tc>
          <w:tcPr>
            <w:tcW w:w="1980" w:type="dxa"/>
            <w:vMerge w:val="continue"/>
            <w:vAlign w:val="center"/>
          </w:tcPr>
          <w:p w14:paraId="15C572AF">
            <w:pPr>
              <w:jc w:val="center"/>
              <w:rPr>
                <w:rFonts w:hint="eastAsia"/>
                <w:b/>
                <w:szCs w:val="21"/>
                <w:lang w:val="en-US" w:eastAsia="zh-CN"/>
              </w:rPr>
            </w:pPr>
          </w:p>
        </w:tc>
        <w:tc>
          <w:tcPr>
            <w:tcW w:w="5580" w:type="dxa"/>
          </w:tcPr>
          <w:p w14:paraId="67A045EE">
            <w:pPr>
              <w:spacing w:after="60"/>
              <w:rPr>
                <w:rFonts w:hint="eastAsia"/>
              </w:rPr>
            </w:pPr>
            <w:r>
              <w:rPr>
                <w:rFonts w:hint="eastAsia" w:ascii="宋体" w:hAnsi="宋体"/>
                <w:szCs w:val="21"/>
              </w:rPr>
              <w:t>▲</w:t>
            </w:r>
            <w:r>
              <w:rPr>
                <w:rFonts w:hint="eastAsia"/>
              </w:rPr>
              <w:t>6. 支持与Oracle、SQLServer、Sybase、DB2、Cache数据库和第三方数据接口对接，提供中间表、触发器、消息机制、WebService等多种连接方式。负责监听各护理单元工作状态，并提供多种调试和查询分析工具。</w:t>
            </w:r>
          </w:p>
        </w:tc>
      </w:tr>
      <w:tr w14:paraId="0458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Align w:val="center"/>
          </w:tcPr>
          <w:p w14:paraId="5FC185F0">
            <w:pPr>
              <w:jc w:val="center"/>
              <w:rPr>
                <w:rFonts w:hint="default"/>
                <w:b/>
                <w:szCs w:val="21"/>
                <w:lang w:val="en-US" w:eastAsia="zh-CN"/>
              </w:rPr>
            </w:pPr>
            <w:r>
              <w:rPr>
                <w:rFonts w:hint="eastAsia"/>
                <w:b/>
                <w:szCs w:val="21"/>
                <w:lang w:val="en-US" w:eastAsia="zh-CN"/>
              </w:rPr>
              <w:t>10</w:t>
            </w:r>
          </w:p>
        </w:tc>
        <w:tc>
          <w:tcPr>
            <w:tcW w:w="1980" w:type="dxa"/>
            <w:vAlign w:val="center"/>
          </w:tcPr>
          <w:p w14:paraId="10C02DBB">
            <w:pPr>
              <w:jc w:val="center"/>
              <w:rPr>
                <w:rFonts w:hint="eastAsia"/>
                <w:b/>
                <w:szCs w:val="21"/>
                <w:lang w:val="en-US" w:eastAsia="zh-CN"/>
              </w:rPr>
            </w:pPr>
            <w:r>
              <w:rPr>
                <w:rFonts w:hint="eastAsia"/>
                <w:b/>
                <w:szCs w:val="21"/>
                <w:lang w:val="en-US" w:eastAsia="zh-CN"/>
              </w:rPr>
              <w:t>呼叫专用线</w:t>
            </w:r>
          </w:p>
        </w:tc>
        <w:tc>
          <w:tcPr>
            <w:tcW w:w="5580" w:type="dxa"/>
          </w:tcPr>
          <w:p w14:paraId="10D6C829">
            <w:pPr>
              <w:rPr>
                <w:rFonts w:hint="eastAsia" w:ascii="宋体" w:hAnsi="宋体" w:cs="宋体"/>
                <w:bCs/>
                <w:szCs w:val="21"/>
                <w:lang w:val="en-US" w:eastAsia="zh-CN"/>
              </w:rPr>
            </w:pPr>
            <w:r>
              <w:rPr>
                <w:rFonts w:hint="eastAsia" w:ascii="宋体" w:hAnsi="宋体" w:cs="宋体"/>
                <w:bCs/>
                <w:szCs w:val="21"/>
                <w:lang w:val="en-US" w:eastAsia="zh-CN"/>
              </w:rPr>
              <w:t>管内穿线 规格：RVV 2*1.0</w:t>
            </w:r>
          </w:p>
        </w:tc>
      </w:tr>
      <w:tr w14:paraId="19F4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00" w:type="dxa"/>
            <w:vAlign w:val="center"/>
          </w:tcPr>
          <w:p w14:paraId="5102F401">
            <w:pPr>
              <w:jc w:val="center"/>
              <w:rPr>
                <w:rFonts w:hint="default"/>
                <w:b/>
                <w:szCs w:val="21"/>
                <w:lang w:val="en-US" w:eastAsia="zh-CN"/>
              </w:rPr>
            </w:pPr>
            <w:r>
              <w:rPr>
                <w:rFonts w:hint="eastAsia"/>
                <w:b/>
                <w:szCs w:val="21"/>
                <w:lang w:val="en-US" w:eastAsia="zh-CN"/>
              </w:rPr>
              <w:t>11</w:t>
            </w:r>
          </w:p>
        </w:tc>
        <w:tc>
          <w:tcPr>
            <w:tcW w:w="1980" w:type="dxa"/>
            <w:vAlign w:val="center"/>
          </w:tcPr>
          <w:p w14:paraId="57F9E611">
            <w:pPr>
              <w:jc w:val="center"/>
              <w:rPr>
                <w:rFonts w:hint="eastAsia"/>
                <w:b/>
                <w:szCs w:val="21"/>
                <w:lang w:val="en-US" w:eastAsia="zh-CN"/>
              </w:rPr>
            </w:pPr>
            <w:r>
              <w:rPr>
                <w:rFonts w:hint="eastAsia"/>
                <w:b/>
                <w:szCs w:val="21"/>
                <w:lang w:val="en-US" w:eastAsia="zh-CN"/>
              </w:rPr>
              <w:t>线管</w:t>
            </w:r>
          </w:p>
        </w:tc>
        <w:tc>
          <w:tcPr>
            <w:tcW w:w="5580" w:type="dxa"/>
          </w:tcPr>
          <w:p w14:paraId="58E09142">
            <w:pPr>
              <w:rPr>
                <w:rFonts w:hint="eastAsia" w:ascii="宋体" w:hAnsi="宋体" w:cs="宋体"/>
                <w:bCs/>
                <w:szCs w:val="21"/>
                <w:lang w:val="en-US" w:eastAsia="zh-CN"/>
              </w:rPr>
            </w:pPr>
            <w:r>
              <w:rPr>
                <w:rFonts w:hint="eastAsia" w:ascii="宋体" w:hAnsi="宋体" w:cs="宋体"/>
                <w:bCs/>
                <w:szCs w:val="21"/>
                <w:lang w:val="en-US" w:eastAsia="zh-CN"/>
              </w:rPr>
              <w:t>安装电线管 规格：KDG 20</w:t>
            </w:r>
          </w:p>
        </w:tc>
      </w:tr>
      <w:tr w14:paraId="303F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restart"/>
            <w:vAlign w:val="center"/>
          </w:tcPr>
          <w:p w14:paraId="18448A26">
            <w:pPr>
              <w:jc w:val="center"/>
              <w:rPr>
                <w:rFonts w:hint="default"/>
                <w:b/>
                <w:szCs w:val="21"/>
                <w:lang w:val="en-US" w:eastAsia="zh-CN"/>
              </w:rPr>
            </w:pPr>
            <w:r>
              <w:rPr>
                <w:rFonts w:hint="eastAsia"/>
                <w:b/>
                <w:szCs w:val="21"/>
                <w:lang w:val="en-US" w:eastAsia="zh-CN"/>
              </w:rPr>
              <w:t>12</w:t>
            </w:r>
          </w:p>
        </w:tc>
        <w:tc>
          <w:tcPr>
            <w:tcW w:w="1980" w:type="dxa"/>
            <w:vMerge w:val="restart"/>
            <w:vAlign w:val="center"/>
          </w:tcPr>
          <w:p w14:paraId="1B3AB004">
            <w:pPr>
              <w:jc w:val="center"/>
              <w:rPr>
                <w:rFonts w:hint="eastAsia"/>
                <w:b/>
                <w:szCs w:val="21"/>
                <w:lang w:val="en-US" w:eastAsia="zh-CN"/>
              </w:rPr>
            </w:pPr>
            <w:r>
              <w:rPr>
                <w:rFonts w:hint="eastAsia"/>
                <w:b/>
                <w:szCs w:val="21"/>
                <w:lang w:val="en-US" w:eastAsia="zh-CN"/>
              </w:rPr>
              <w:t>氧气全自动切换汇流排5米*5米</w:t>
            </w:r>
          </w:p>
        </w:tc>
        <w:tc>
          <w:tcPr>
            <w:tcW w:w="5580" w:type="dxa"/>
          </w:tcPr>
          <w:p w14:paraId="2DFF5930">
            <w:pPr>
              <w:numPr>
                <w:ilvl w:val="0"/>
                <w:numId w:val="0"/>
              </w:numPr>
              <w:spacing w:after="60"/>
              <w:rPr>
                <w:rFonts w:hint="eastAsia"/>
              </w:rPr>
            </w:pPr>
            <w:r>
              <w:rPr>
                <w:rFonts w:hint="eastAsia" w:ascii="Calibri" w:hAnsi="Calibri" w:eastAsia="宋体" w:cs="Times New Roman"/>
                <w:kern w:val="2"/>
                <w:sz w:val="21"/>
                <w:szCs w:val="22"/>
                <w:lang w:val="en-US" w:eastAsia="zh-CN" w:bidi="ar-SA"/>
              </w:rPr>
              <w:t>1.</w:t>
            </w:r>
            <w:r>
              <w:rPr>
                <w:rFonts w:hint="eastAsia"/>
              </w:rPr>
              <w:t>汇流排左右两侧各设一组气瓶接口，双侧具有全自动切换功能；当一侧气瓶不能满足使用后，自动切换至另一侧。</w:t>
            </w:r>
          </w:p>
        </w:tc>
      </w:tr>
      <w:tr w14:paraId="596F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0FE403AD">
            <w:pPr>
              <w:jc w:val="center"/>
              <w:rPr>
                <w:rFonts w:hint="eastAsia"/>
                <w:b/>
                <w:szCs w:val="21"/>
              </w:rPr>
            </w:pPr>
          </w:p>
        </w:tc>
        <w:tc>
          <w:tcPr>
            <w:tcW w:w="1980" w:type="dxa"/>
            <w:vMerge w:val="continue"/>
            <w:vAlign w:val="center"/>
          </w:tcPr>
          <w:p w14:paraId="77809AE6">
            <w:pPr>
              <w:jc w:val="center"/>
              <w:rPr>
                <w:rFonts w:hint="eastAsia"/>
                <w:b/>
                <w:szCs w:val="21"/>
                <w:lang w:val="en-US" w:eastAsia="zh-CN"/>
              </w:rPr>
            </w:pPr>
          </w:p>
        </w:tc>
        <w:tc>
          <w:tcPr>
            <w:tcW w:w="5580" w:type="dxa"/>
          </w:tcPr>
          <w:p w14:paraId="06B267A1">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2.</w:t>
            </w:r>
            <w:r>
              <w:rPr>
                <w:rFonts w:hint="eastAsia"/>
              </w:rPr>
              <w:t>汇流排进气侧设有管路过滤器，单向阀，可以有效防止气体回流倒灌到气瓶。</w:t>
            </w:r>
          </w:p>
        </w:tc>
      </w:tr>
      <w:tr w14:paraId="629C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6EA16549">
            <w:pPr>
              <w:jc w:val="center"/>
              <w:rPr>
                <w:rFonts w:hint="eastAsia"/>
                <w:b/>
                <w:szCs w:val="21"/>
              </w:rPr>
            </w:pPr>
          </w:p>
        </w:tc>
        <w:tc>
          <w:tcPr>
            <w:tcW w:w="1980" w:type="dxa"/>
            <w:vMerge w:val="continue"/>
            <w:vAlign w:val="center"/>
          </w:tcPr>
          <w:p w14:paraId="0066E509">
            <w:pPr>
              <w:jc w:val="center"/>
              <w:rPr>
                <w:rFonts w:hint="eastAsia"/>
                <w:b/>
                <w:szCs w:val="21"/>
                <w:lang w:val="en-US" w:eastAsia="zh-CN"/>
              </w:rPr>
            </w:pPr>
          </w:p>
        </w:tc>
        <w:tc>
          <w:tcPr>
            <w:tcW w:w="5580" w:type="dxa"/>
          </w:tcPr>
          <w:p w14:paraId="468A383A">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3.</w:t>
            </w:r>
            <w:r>
              <w:rPr>
                <w:rFonts w:hint="eastAsia"/>
              </w:rPr>
              <w:t>汇流排内部有高压低压两级减压阀，确保输出压力稳定。二级减压器为双回路设计，单减压器出现故障时可实现不停气检修。</w:t>
            </w:r>
          </w:p>
        </w:tc>
      </w:tr>
      <w:tr w14:paraId="60F4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47D63666">
            <w:pPr>
              <w:jc w:val="center"/>
              <w:rPr>
                <w:rFonts w:hint="eastAsia"/>
                <w:b/>
                <w:szCs w:val="21"/>
              </w:rPr>
            </w:pPr>
          </w:p>
        </w:tc>
        <w:tc>
          <w:tcPr>
            <w:tcW w:w="1980" w:type="dxa"/>
            <w:vMerge w:val="continue"/>
            <w:vAlign w:val="center"/>
          </w:tcPr>
          <w:p w14:paraId="3912E4CB">
            <w:pPr>
              <w:jc w:val="center"/>
              <w:rPr>
                <w:rFonts w:hint="eastAsia"/>
                <w:b/>
                <w:szCs w:val="21"/>
                <w:lang w:val="en-US" w:eastAsia="zh-CN"/>
              </w:rPr>
            </w:pPr>
          </w:p>
        </w:tc>
        <w:tc>
          <w:tcPr>
            <w:tcW w:w="5580" w:type="dxa"/>
          </w:tcPr>
          <w:p w14:paraId="0CB8A124">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4.</w:t>
            </w:r>
            <w:r>
              <w:rPr>
                <w:rFonts w:hint="eastAsia"/>
              </w:rPr>
              <w:t>一级减压器采用先导式减压器，能有效抑制后续因用气波动能引起汇流排输出压力的变化。</w:t>
            </w:r>
          </w:p>
        </w:tc>
      </w:tr>
      <w:tr w14:paraId="5116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4D30A618">
            <w:pPr>
              <w:jc w:val="center"/>
              <w:rPr>
                <w:rFonts w:hint="eastAsia"/>
                <w:b/>
                <w:szCs w:val="21"/>
              </w:rPr>
            </w:pPr>
          </w:p>
        </w:tc>
        <w:tc>
          <w:tcPr>
            <w:tcW w:w="1980" w:type="dxa"/>
            <w:vMerge w:val="continue"/>
            <w:vAlign w:val="center"/>
          </w:tcPr>
          <w:p w14:paraId="35BF902C">
            <w:pPr>
              <w:jc w:val="center"/>
              <w:rPr>
                <w:rFonts w:hint="eastAsia"/>
                <w:b/>
                <w:szCs w:val="21"/>
                <w:lang w:val="en-US" w:eastAsia="zh-CN"/>
              </w:rPr>
            </w:pPr>
          </w:p>
        </w:tc>
        <w:tc>
          <w:tcPr>
            <w:tcW w:w="5580" w:type="dxa"/>
          </w:tcPr>
          <w:p w14:paraId="2D92CB38">
            <w:pPr>
              <w:numPr>
                <w:ilvl w:val="0"/>
                <w:numId w:val="0"/>
              </w:numPr>
              <w:spacing w:after="60"/>
              <w:ind w:left="0" w:leftChars="0" w:firstLine="0" w:firstLineChars="0"/>
              <w:rPr>
                <w:rFonts w:hint="eastAsia"/>
                <w:lang w:eastAsia="zh-CN"/>
              </w:rPr>
            </w:pPr>
            <w:r>
              <w:rPr>
                <w:rFonts w:hint="eastAsia" w:ascii="Calibri" w:hAnsi="Calibri" w:eastAsia="宋体" w:cs="Times New Roman"/>
                <w:kern w:val="2"/>
                <w:sz w:val="21"/>
                <w:szCs w:val="22"/>
                <w:lang w:val="en-US" w:eastAsia="zh-CN" w:bidi="ar-SA"/>
              </w:rPr>
              <w:t>5.</w:t>
            </w:r>
            <w:r>
              <w:rPr>
                <w:rFonts w:hint="eastAsia"/>
              </w:rPr>
              <w:t>汇流排内部阀门及连接件均采用黄铜材质；管件均经过脱脂处理，满足医疗洁净要求</w:t>
            </w:r>
            <w:r>
              <w:rPr>
                <w:rFonts w:hint="eastAsia"/>
                <w:lang w:eastAsia="zh-CN"/>
              </w:rPr>
              <w:t>。</w:t>
            </w:r>
          </w:p>
        </w:tc>
      </w:tr>
      <w:tr w14:paraId="51A4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7864B398">
            <w:pPr>
              <w:jc w:val="center"/>
              <w:rPr>
                <w:rFonts w:hint="eastAsia"/>
                <w:b/>
                <w:szCs w:val="21"/>
              </w:rPr>
            </w:pPr>
          </w:p>
        </w:tc>
        <w:tc>
          <w:tcPr>
            <w:tcW w:w="1980" w:type="dxa"/>
            <w:vMerge w:val="continue"/>
            <w:vAlign w:val="center"/>
          </w:tcPr>
          <w:p w14:paraId="0A566884">
            <w:pPr>
              <w:jc w:val="center"/>
              <w:rPr>
                <w:rFonts w:hint="eastAsia"/>
                <w:b/>
                <w:szCs w:val="21"/>
                <w:lang w:val="en-US" w:eastAsia="zh-CN"/>
              </w:rPr>
            </w:pPr>
          </w:p>
        </w:tc>
        <w:tc>
          <w:tcPr>
            <w:tcW w:w="5580" w:type="dxa"/>
          </w:tcPr>
          <w:p w14:paraId="358EABC8">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6.</w:t>
            </w:r>
            <w:r>
              <w:rPr>
                <w:rFonts w:hint="eastAsia"/>
              </w:rPr>
              <w:t>内部管路焊接采用银焊，气密性</w:t>
            </w:r>
            <w:r>
              <w:rPr>
                <w:rFonts w:hint="eastAsia"/>
                <w:lang w:val="en-US" w:eastAsia="zh-CN"/>
              </w:rPr>
              <w:t>良好</w:t>
            </w:r>
            <w:r>
              <w:rPr>
                <w:rFonts w:hint="eastAsia"/>
              </w:rPr>
              <w:t>；整个系统经过耐压测试，出厂100%测试。</w:t>
            </w:r>
          </w:p>
        </w:tc>
      </w:tr>
      <w:tr w14:paraId="701C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2F77CF49">
            <w:pPr>
              <w:jc w:val="center"/>
              <w:rPr>
                <w:rFonts w:hint="eastAsia"/>
                <w:b/>
                <w:szCs w:val="21"/>
              </w:rPr>
            </w:pPr>
          </w:p>
        </w:tc>
        <w:tc>
          <w:tcPr>
            <w:tcW w:w="1980" w:type="dxa"/>
            <w:vMerge w:val="continue"/>
            <w:vAlign w:val="center"/>
          </w:tcPr>
          <w:p w14:paraId="2BAF837B">
            <w:pPr>
              <w:jc w:val="center"/>
              <w:rPr>
                <w:rFonts w:hint="eastAsia"/>
                <w:b/>
                <w:szCs w:val="21"/>
                <w:lang w:val="en-US" w:eastAsia="zh-CN"/>
              </w:rPr>
            </w:pPr>
          </w:p>
        </w:tc>
        <w:tc>
          <w:tcPr>
            <w:tcW w:w="5580" w:type="dxa"/>
          </w:tcPr>
          <w:p w14:paraId="07EA141B">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7.</w:t>
            </w:r>
            <w:r>
              <w:rPr>
                <w:rFonts w:hint="eastAsia"/>
              </w:rPr>
              <w:t>管路端部采用盲塞，可满足拓展需要。</w:t>
            </w:r>
          </w:p>
        </w:tc>
      </w:tr>
      <w:tr w14:paraId="3D21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393EC0E1">
            <w:pPr>
              <w:jc w:val="center"/>
              <w:rPr>
                <w:rFonts w:hint="eastAsia"/>
                <w:b/>
                <w:szCs w:val="21"/>
              </w:rPr>
            </w:pPr>
          </w:p>
        </w:tc>
        <w:tc>
          <w:tcPr>
            <w:tcW w:w="1980" w:type="dxa"/>
            <w:vMerge w:val="continue"/>
            <w:vAlign w:val="center"/>
          </w:tcPr>
          <w:p w14:paraId="6BC47CE0">
            <w:pPr>
              <w:jc w:val="center"/>
              <w:rPr>
                <w:rFonts w:hint="eastAsia"/>
                <w:b/>
                <w:szCs w:val="21"/>
                <w:lang w:val="en-US" w:eastAsia="zh-CN"/>
              </w:rPr>
            </w:pPr>
          </w:p>
        </w:tc>
        <w:tc>
          <w:tcPr>
            <w:tcW w:w="5580" w:type="dxa"/>
          </w:tcPr>
          <w:p w14:paraId="4FCA0894">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8.</w:t>
            </w:r>
            <w:r>
              <w:rPr>
                <w:rFonts w:hint="eastAsia"/>
              </w:rPr>
              <w:t>显示系统状态，正常供气、满瓶备用、空瓶换气提醒，方便管理。</w:t>
            </w:r>
          </w:p>
        </w:tc>
      </w:tr>
      <w:tr w14:paraId="0E12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4BB465B7">
            <w:pPr>
              <w:jc w:val="center"/>
              <w:rPr>
                <w:rFonts w:hint="eastAsia"/>
                <w:b/>
                <w:szCs w:val="21"/>
              </w:rPr>
            </w:pPr>
          </w:p>
        </w:tc>
        <w:tc>
          <w:tcPr>
            <w:tcW w:w="1980" w:type="dxa"/>
            <w:vMerge w:val="continue"/>
            <w:vAlign w:val="center"/>
          </w:tcPr>
          <w:p w14:paraId="5873DF01">
            <w:pPr>
              <w:jc w:val="center"/>
              <w:rPr>
                <w:rFonts w:hint="eastAsia"/>
                <w:b/>
                <w:szCs w:val="21"/>
                <w:lang w:val="en-US" w:eastAsia="zh-CN"/>
              </w:rPr>
            </w:pPr>
          </w:p>
        </w:tc>
        <w:tc>
          <w:tcPr>
            <w:tcW w:w="5580" w:type="dxa"/>
          </w:tcPr>
          <w:p w14:paraId="022B5648">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9.</w:t>
            </w:r>
            <w:r>
              <w:rPr>
                <w:rFonts w:hint="eastAsia"/>
              </w:rPr>
              <w:t>数字化实时显示气瓶气压、送气压力。</w:t>
            </w:r>
          </w:p>
        </w:tc>
      </w:tr>
      <w:tr w14:paraId="0DBD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240CEB26">
            <w:pPr>
              <w:jc w:val="center"/>
              <w:rPr>
                <w:rFonts w:hint="eastAsia"/>
                <w:b/>
                <w:szCs w:val="21"/>
              </w:rPr>
            </w:pPr>
          </w:p>
        </w:tc>
        <w:tc>
          <w:tcPr>
            <w:tcW w:w="1980" w:type="dxa"/>
            <w:vMerge w:val="continue"/>
            <w:vAlign w:val="center"/>
          </w:tcPr>
          <w:p w14:paraId="71D95DF6">
            <w:pPr>
              <w:jc w:val="center"/>
              <w:rPr>
                <w:rFonts w:hint="eastAsia"/>
                <w:b/>
                <w:szCs w:val="21"/>
                <w:lang w:val="en-US" w:eastAsia="zh-CN"/>
              </w:rPr>
            </w:pPr>
          </w:p>
        </w:tc>
        <w:tc>
          <w:tcPr>
            <w:tcW w:w="5580" w:type="dxa"/>
          </w:tcPr>
          <w:p w14:paraId="26588D28">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10.</w:t>
            </w:r>
            <w:r>
              <w:rPr>
                <w:rFonts w:hint="eastAsia"/>
              </w:rPr>
              <w:t>汇流管</w:t>
            </w:r>
            <w:r>
              <w:rPr>
                <w:rFonts w:hint="eastAsia"/>
                <w:lang w:val="en-US" w:eastAsia="zh-CN"/>
              </w:rPr>
              <w:t>能承受</w:t>
            </w:r>
            <w:r>
              <w:rPr>
                <w:rFonts w:hint="eastAsia" w:ascii="宋体" w:hAnsi="宋体" w:eastAsia="宋体" w:cs="宋体"/>
                <w:b w:val="0"/>
                <w:bCs/>
                <w:sz w:val="21"/>
                <w:szCs w:val="21"/>
              </w:rPr>
              <w:t>≥</w:t>
            </w:r>
            <w:r>
              <w:rPr>
                <w:rFonts w:hint="eastAsia"/>
              </w:rPr>
              <w:t>69Mpa压力</w:t>
            </w:r>
          </w:p>
        </w:tc>
      </w:tr>
      <w:tr w14:paraId="77C1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047CFC1D">
            <w:pPr>
              <w:jc w:val="center"/>
              <w:rPr>
                <w:rFonts w:hint="eastAsia"/>
                <w:b/>
                <w:szCs w:val="21"/>
              </w:rPr>
            </w:pPr>
          </w:p>
        </w:tc>
        <w:tc>
          <w:tcPr>
            <w:tcW w:w="1980" w:type="dxa"/>
            <w:vMerge w:val="continue"/>
            <w:vAlign w:val="center"/>
          </w:tcPr>
          <w:p w14:paraId="0C8A8A39">
            <w:pPr>
              <w:jc w:val="center"/>
              <w:rPr>
                <w:rFonts w:hint="eastAsia"/>
                <w:b/>
                <w:szCs w:val="21"/>
                <w:lang w:val="en-US" w:eastAsia="zh-CN"/>
              </w:rPr>
            </w:pPr>
          </w:p>
        </w:tc>
        <w:tc>
          <w:tcPr>
            <w:tcW w:w="5580" w:type="dxa"/>
          </w:tcPr>
          <w:p w14:paraId="587400BB">
            <w:pPr>
              <w:spacing w:after="60"/>
              <w:rPr>
                <w:rFonts w:hint="eastAsia"/>
              </w:rPr>
            </w:pPr>
            <w:r>
              <w:rPr>
                <w:rFonts w:hint="eastAsia"/>
                <w:lang w:val="en-US" w:eastAsia="zh-CN"/>
              </w:rPr>
              <w:t>11.</w:t>
            </w:r>
            <w:r>
              <w:rPr>
                <w:rFonts w:hint="eastAsia"/>
              </w:rPr>
              <w:t>金属软管机械强度符合YY/T</w:t>
            </w:r>
            <w:r>
              <w:rPr>
                <w:rFonts w:hint="eastAsia"/>
                <w:lang w:val="en-US" w:eastAsia="zh-CN"/>
              </w:rPr>
              <w:t xml:space="preserve"> </w:t>
            </w:r>
            <w:r>
              <w:rPr>
                <w:rFonts w:hint="eastAsia"/>
              </w:rPr>
              <w:t>1440-2016要求</w:t>
            </w:r>
          </w:p>
        </w:tc>
      </w:tr>
      <w:tr w14:paraId="500D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23386F40">
            <w:pPr>
              <w:jc w:val="center"/>
              <w:rPr>
                <w:rFonts w:hint="eastAsia"/>
                <w:b/>
                <w:szCs w:val="21"/>
              </w:rPr>
            </w:pPr>
          </w:p>
        </w:tc>
        <w:tc>
          <w:tcPr>
            <w:tcW w:w="1980" w:type="dxa"/>
            <w:vMerge w:val="continue"/>
            <w:vAlign w:val="center"/>
          </w:tcPr>
          <w:p w14:paraId="7E04C90E">
            <w:pPr>
              <w:jc w:val="center"/>
              <w:rPr>
                <w:rFonts w:hint="eastAsia"/>
                <w:b/>
                <w:szCs w:val="21"/>
                <w:lang w:val="en-US" w:eastAsia="zh-CN"/>
              </w:rPr>
            </w:pPr>
          </w:p>
        </w:tc>
        <w:tc>
          <w:tcPr>
            <w:tcW w:w="5580" w:type="dxa"/>
          </w:tcPr>
          <w:p w14:paraId="27041DDE">
            <w:pPr>
              <w:numPr>
                <w:ilvl w:val="0"/>
                <w:numId w:val="0"/>
              </w:numPr>
              <w:spacing w:after="60"/>
              <w:ind w:left="0" w:leftChars="0" w:firstLine="0" w:firstLineChars="0"/>
              <w:rPr>
                <w:rFonts w:hint="eastAsia"/>
                <w:lang w:eastAsia="zh-CN"/>
              </w:rPr>
            </w:pPr>
            <w:r>
              <w:rPr>
                <w:rFonts w:hint="eastAsia" w:ascii="宋体" w:hAnsi="宋体"/>
                <w:szCs w:val="21"/>
              </w:rPr>
              <w:t>▲</w:t>
            </w:r>
            <w:r>
              <w:rPr>
                <w:rFonts w:hint="eastAsia" w:ascii="Calibri" w:hAnsi="Calibri" w:eastAsia="宋体" w:cs="Times New Roman"/>
                <w:kern w:val="2"/>
                <w:sz w:val="21"/>
                <w:szCs w:val="22"/>
                <w:lang w:val="en-US" w:eastAsia="zh-CN" w:bidi="ar-SA"/>
              </w:rPr>
              <w:t>1</w:t>
            </w:r>
            <w:r>
              <w:rPr>
                <w:rFonts w:hint="eastAsia" w:ascii="Calibri" w:hAnsi="Calibri" w:cs="Times New Roman"/>
                <w:kern w:val="2"/>
                <w:sz w:val="21"/>
                <w:szCs w:val="22"/>
                <w:lang w:val="en-US" w:eastAsia="zh-CN" w:bidi="ar-SA"/>
              </w:rPr>
              <w:t>2</w:t>
            </w:r>
            <w:r>
              <w:rPr>
                <w:rFonts w:hint="eastAsia" w:ascii="Calibri" w:hAnsi="Calibri" w:eastAsia="宋体" w:cs="Times New Roman"/>
                <w:kern w:val="2"/>
                <w:sz w:val="21"/>
                <w:szCs w:val="22"/>
                <w:lang w:val="en-US" w:eastAsia="zh-CN" w:bidi="ar-SA"/>
              </w:rPr>
              <w:t>.</w:t>
            </w:r>
            <w:r>
              <w:rPr>
                <w:rFonts w:hint="eastAsia"/>
              </w:rPr>
              <w:t>电控系统应符合GB9706.1-2020的要求</w:t>
            </w:r>
            <w:r>
              <w:rPr>
                <w:rFonts w:hint="eastAsia"/>
                <w:lang w:eastAsia="zh-CN"/>
              </w:rPr>
              <w:t>，</w:t>
            </w:r>
            <w:r>
              <w:rPr>
                <w:rFonts w:hint="eastAsia"/>
              </w:rPr>
              <w:t>在中断和恢复供电时不应导致基本安全或基本性能的丧失。 汇流排应符合YY9706.1-2021 医用电气设备电磁兼容性要求</w:t>
            </w:r>
            <w:r>
              <w:rPr>
                <w:rFonts w:hint="eastAsia"/>
                <w:lang w:eastAsia="zh-CN"/>
              </w:rPr>
              <w:t>。</w:t>
            </w:r>
          </w:p>
        </w:tc>
      </w:tr>
      <w:tr w14:paraId="62D7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788C22F3">
            <w:pPr>
              <w:jc w:val="center"/>
              <w:rPr>
                <w:rFonts w:hint="eastAsia"/>
                <w:b/>
                <w:szCs w:val="21"/>
              </w:rPr>
            </w:pPr>
          </w:p>
        </w:tc>
        <w:tc>
          <w:tcPr>
            <w:tcW w:w="1980" w:type="dxa"/>
            <w:vMerge w:val="continue"/>
            <w:vAlign w:val="center"/>
          </w:tcPr>
          <w:p w14:paraId="1DDAB4AD">
            <w:pPr>
              <w:jc w:val="center"/>
              <w:rPr>
                <w:rFonts w:hint="eastAsia"/>
                <w:b/>
                <w:szCs w:val="21"/>
                <w:lang w:val="en-US" w:eastAsia="zh-CN"/>
              </w:rPr>
            </w:pPr>
          </w:p>
        </w:tc>
        <w:tc>
          <w:tcPr>
            <w:tcW w:w="5580" w:type="dxa"/>
          </w:tcPr>
          <w:p w14:paraId="5E32ACA5">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1</w:t>
            </w:r>
            <w:r>
              <w:rPr>
                <w:rFonts w:hint="eastAsia" w:ascii="Calibri" w:hAnsi="Calibri" w:cs="Times New Roman"/>
                <w:kern w:val="2"/>
                <w:sz w:val="21"/>
                <w:szCs w:val="22"/>
                <w:lang w:val="en-US" w:eastAsia="zh-CN" w:bidi="ar-SA"/>
              </w:rPr>
              <w:t>3</w:t>
            </w:r>
            <w:r>
              <w:rPr>
                <w:rFonts w:hint="eastAsia" w:ascii="Calibri" w:hAnsi="Calibri" w:eastAsia="宋体" w:cs="Times New Roman"/>
                <w:kern w:val="2"/>
                <w:sz w:val="21"/>
                <w:szCs w:val="22"/>
                <w:lang w:val="en-US" w:eastAsia="zh-CN" w:bidi="ar-SA"/>
              </w:rPr>
              <w:t>.</w:t>
            </w:r>
            <w:r>
              <w:rPr>
                <w:rFonts w:hint="eastAsia"/>
              </w:rPr>
              <w:t>汇流排切换主机应符合GB/T 14710-2009 医用电气设备环境测试要求</w:t>
            </w:r>
            <w:r>
              <w:rPr>
                <w:rFonts w:hint="eastAsia"/>
                <w:lang w:eastAsia="zh-CN"/>
              </w:rPr>
              <w:t>，</w:t>
            </w:r>
            <w:r>
              <w:rPr>
                <w:rFonts w:hint="eastAsia"/>
              </w:rPr>
              <w:t>自带RS485信号远传接口、继电器报警信号接点。</w:t>
            </w:r>
          </w:p>
        </w:tc>
      </w:tr>
      <w:tr w14:paraId="23F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641ED96E">
            <w:pPr>
              <w:jc w:val="center"/>
              <w:rPr>
                <w:rFonts w:hint="eastAsia"/>
                <w:b/>
                <w:szCs w:val="21"/>
              </w:rPr>
            </w:pPr>
          </w:p>
        </w:tc>
        <w:tc>
          <w:tcPr>
            <w:tcW w:w="1980" w:type="dxa"/>
            <w:vMerge w:val="continue"/>
            <w:vAlign w:val="center"/>
          </w:tcPr>
          <w:p w14:paraId="357F0A15">
            <w:pPr>
              <w:jc w:val="center"/>
              <w:rPr>
                <w:rFonts w:hint="eastAsia"/>
                <w:b/>
                <w:szCs w:val="21"/>
                <w:lang w:val="en-US" w:eastAsia="zh-CN"/>
              </w:rPr>
            </w:pPr>
          </w:p>
        </w:tc>
        <w:tc>
          <w:tcPr>
            <w:tcW w:w="5580" w:type="dxa"/>
          </w:tcPr>
          <w:p w14:paraId="5D8B380D">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1</w:t>
            </w:r>
            <w:r>
              <w:rPr>
                <w:rFonts w:hint="eastAsia" w:ascii="Calibri" w:hAnsi="Calibri" w:cs="Times New Roman"/>
                <w:kern w:val="2"/>
                <w:sz w:val="21"/>
                <w:szCs w:val="22"/>
                <w:lang w:val="en-US" w:eastAsia="zh-CN" w:bidi="ar-SA"/>
              </w:rPr>
              <w:t>4</w:t>
            </w:r>
            <w:r>
              <w:rPr>
                <w:rFonts w:hint="eastAsia" w:ascii="Calibri" w:hAnsi="Calibri" w:eastAsia="宋体" w:cs="Times New Roman"/>
                <w:kern w:val="2"/>
                <w:sz w:val="21"/>
                <w:szCs w:val="22"/>
                <w:lang w:val="en-US" w:eastAsia="zh-CN" w:bidi="ar-SA"/>
              </w:rPr>
              <w:t>.</w:t>
            </w:r>
            <w:r>
              <w:rPr>
                <w:rFonts w:hint="eastAsia"/>
              </w:rPr>
              <w:t>电源箱防护等级</w:t>
            </w:r>
            <w:r>
              <w:rPr>
                <w:rFonts w:hint="eastAsia" w:ascii="宋体" w:hAnsi="宋体" w:eastAsia="宋体" w:cs="宋体"/>
                <w:b w:val="0"/>
                <w:bCs/>
                <w:sz w:val="21"/>
                <w:szCs w:val="21"/>
              </w:rPr>
              <w:t>≥</w:t>
            </w:r>
            <w:r>
              <w:rPr>
                <w:rFonts w:hint="eastAsia"/>
              </w:rPr>
              <w:t>IP66</w:t>
            </w:r>
            <w:r>
              <w:rPr>
                <w:rFonts w:hint="eastAsia"/>
                <w:lang w:eastAsia="zh-CN"/>
              </w:rPr>
              <w:t>。</w:t>
            </w:r>
          </w:p>
        </w:tc>
      </w:tr>
      <w:tr w14:paraId="5FCA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00" w:type="dxa"/>
            <w:vMerge w:val="continue"/>
            <w:vAlign w:val="center"/>
          </w:tcPr>
          <w:p w14:paraId="7DFB4BFE">
            <w:pPr>
              <w:jc w:val="center"/>
              <w:rPr>
                <w:rFonts w:hint="eastAsia"/>
                <w:b/>
                <w:szCs w:val="21"/>
              </w:rPr>
            </w:pPr>
          </w:p>
        </w:tc>
        <w:tc>
          <w:tcPr>
            <w:tcW w:w="1980" w:type="dxa"/>
            <w:vMerge w:val="continue"/>
            <w:vAlign w:val="center"/>
          </w:tcPr>
          <w:p w14:paraId="0B657146">
            <w:pPr>
              <w:jc w:val="center"/>
              <w:rPr>
                <w:rFonts w:hint="eastAsia"/>
                <w:b/>
                <w:szCs w:val="21"/>
                <w:lang w:val="en-US" w:eastAsia="zh-CN"/>
              </w:rPr>
            </w:pPr>
          </w:p>
        </w:tc>
        <w:tc>
          <w:tcPr>
            <w:tcW w:w="5580" w:type="dxa"/>
          </w:tcPr>
          <w:p w14:paraId="2D4FB467">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1</w:t>
            </w:r>
            <w:r>
              <w:rPr>
                <w:rFonts w:hint="eastAsia" w:ascii="Calibri" w:hAnsi="Calibri" w:cs="Times New Roman"/>
                <w:kern w:val="2"/>
                <w:sz w:val="21"/>
                <w:szCs w:val="22"/>
                <w:lang w:val="en-US" w:eastAsia="zh-CN" w:bidi="ar-SA"/>
              </w:rPr>
              <w:t>5</w:t>
            </w:r>
            <w:r>
              <w:rPr>
                <w:rFonts w:hint="eastAsia" w:ascii="Calibri" w:hAnsi="Calibri" w:eastAsia="宋体" w:cs="Times New Roman"/>
                <w:kern w:val="2"/>
                <w:sz w:val="21"/>
                <w:szCs w:val="22"/>
                <w:lang w:val="en-US" w:eastAsia="zh-CN" w:bidi="ar-SA"/>
              </w:rPr>
              <w:t>.</w:t>
            </w:r>
            <w:r>
              <w:rPr>
                <w:rFonts w:hint="eastAsia"/>
              </w:rPr>
              <w:t>汇流排提供产品责任保险。</w:t>
            </w:r>
          </w:p>
          <w:p w14:paraId="7AC1785C">
            <w:pPr>
              <w:numPr>
                <w:ilvl w:val="0"/>
                <w:numId w:val="0"/>
              </w:numPr>
              <w:spacing w:after="60"/>
              <w:ind w:left="0" w:leftChars="0" w:firstLine="0" w:firstLineChars="0"/>
              <w:rPr>
                <w:rFonts w:hint="eastAsia"/>
                <w:lang w:eastAsia="zh-CN"/>
              </w:rPr>
            </w:pPr>
            <w:r>
              <w:rPr>
                <w:rFonts w:hint="eastAsia"/>
              </w:rPr>
              <w:t>汇流排出口输出流量≥100m³/h</w:t>
            </w:r>
            <w:r>
              <w:rPr>
                <w:rFonts w:hint="eastAsia"/>
                <w:lang w:eastAsia="zh-CN"/>
              </w:rPr>
              <w:t>。</w:t>
            </w:r>
          </w:p>
        </w:tc>
      </w:tr>
      <w:tr w14:paraId="6CE7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010882E">
            <w:pPr>
              <w:jc w:val="center"/>
              <w:rPr>
                <w:rFonts w:hint="default"/>
                <w:b/>
                <w:szCs w:val="21"/>
                <w:lang w:val="en-US" w:eastAsia="zh-CN"/>
              </w:rPr>
            </w:pPr>
            <w:r>
              <w:rPr>
                <w:rFonts w:hint="eastAsia"/>
                <w:b/>
                <w:szCs w:val="21"/>
                <w:lang w:val="en-US" w:eastAsia="zh-CN"/>
              </w:rPr>
              <w:t>13</w:t>
            </w:r>
          </w:p>
        </w:tc>
        <w:tc>
          <w:tcPr>
            <w:tcW w:w="1980" w:type="dxa"/>
            <w:vAlign w:val="center"/>
          </w:tcPr>
          <w:p w14:paraId="1E2F82FD">
            <w:pPr>
              <w:jc w:val="center"/>
              <w:rPr>
                <w:rFonts w:hint="eastAsia"/>
                <w:b/>
                <w:szCs w:val="21"/>
                <w:lang w:val="en-US" w:eastAsia="zh-CN"/>
              </w:rPr>
            </w:pPr>
            <w:r>
              <w:rPr>
                <w:rFonts w:hint="eastAsia"/>
                <w:b/>
                <w:szCs w:val="21"/>
                <w:lang w:val="en-US" w:eastAsia="zh-CN"/>
              </w:rPr>
              <w:t>氧气流量箱</w:t>
            </w:r>
          </w:p>
        </w:tc>
        <w:tc>
          <w:tcPr>
            <w:tcW w:w="5580" w:type="dxa"/>
          </w:tcPr>
          <w:p w14:paraId="7204CBEB">
            <w:pPr>
              <w:spacing w:after="60"/>
              <w:rPr>
                <w:rFonts w:hint="eastAsia"/>
              </w:rPr>
            </w:pPr>
            <w:r>
              <w:rPr>
                <w:rFonts w:hint="eastAsia"/>
                <w:lang w:val="en-US" w:eastAsia="zh-CN"/>
              </w:rPr>
              <w:t>集中供氧流量计。峰值流量</w:t>
            </w:r>
            <w:r>
              <w:rPr>
                <w:rFonts w:hint="eastAsia" w:ascii="宋体" w:hAnsi="宋体" w:eastAsia="宋体" w:cs="宋体"/>
                <w:b w:val="0"/>
                <w:bCs/>
                <w:sz w:val="21"/>
                <w:szCs w:val="21"/>
              </w:rPr>
              <w:t>≥</w:t>
            </w:r>
            <w:r>
              <w:rPr>
                <w:rFonts w:hint="eastAsia"/>
                <w:lang w:val="en-US" w:eastAsia="zh-CN"/>
              </w:rPr>
              <w:t>200L/min (12m³/h)</w:t>
            </w:r>
          </w:p>
        </w:tc>
      </w:tr>
      <w:tr w14:paraId="19259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jc w:val="center"/>
        </w:trPr>
        <w:tc>
          <w:tcPr>
            <w:tcW w:w="900" w:type="dxa"/>
            <w:vAlign w:val="center"/>
          </w:tcPr>
          <w:p w14:paraId="4634064F">
            <w:pPr>
              <w:jc w:val="center"/>
              <w:rPr>
                <w:rFonts w:hint="default"/>
                <w:b/>
                <w:szCs w:val="21"/>
                <w:lang w:val="en-US" w:eastAsia="zh-CN"/>
              </w:rPr>
            </w:pPr>
            <w:r>
              <w:rPr>
                <w:rFonts w:hint="eastAsia"/>
                <w:b/>
                <w:szCs w:val="21"/>
                <w:lang w:val="en-US" w:eastAsia="zh-CN"/>
              </w:rPr>
              <w:t>14</w:t>
            </w:r>
          </w:p>
        </w:tc>
        <w:tc>
          <w:tcPr>
            <w:tcW w:w="1980" w:type="dxa"/>
            <w:vAlign w:val="center"/>
          </w:tcPr>
          <w:p w14:paraId="19733057">
            <w:pPr>
              <w:jc w:val="center"/>
              <w:rPr>
                <w:rFonts w:hint="eastAsia"/>
                <w:b/>
                <w:szCs w:val="21"/>
                <w:lang w:val="en-US" w:eastAsia="zh-CN"/>
              </w:rPr>
            </w:pPr>
            <w:r>
              <w:rPr>
                <w:rFonts w:hint="eastAsia"/>
                <w:b/>
                <w:szCs w:val="21"/>
                <w:lang w:val="en-US" w:eastAsia="zh-CN"/>
              </w:rPr>
              <w:t>阀门箱</w:t>
            </w:r>
          </w:p>
        </w:tc>
        <w:tc>
          <w:tcPr>
            <w:tcW w:w="5580" w:type="dxa"/>
          </w:tcPr>
          <w:p w14:paraId="6D738773">
            <w:pPr>
              <w:numPr>
                <w:ilvl w:val="0"/>
                <w:numId w:val="20"/>
              </w:numPr>
              <w:spacing w:after="60"/>
              <w:rPr>
                <w:rFonts w:hint="eastAsia"/>
                <w:lang w:val="en-US" w:eastAsia="zh-CN"/>
              </w:rPr>
            </w:pPr>
            <w:r>
              <w:rPr>
                <w:rFonts w:hint="eastAsia"/>
                <w:lang w:val="en-US" w:eastAsia="zh-CN"/>
              </w:rPr>
              <w:t>气阀门箱，下进上出的管路布局。</w:t>
            </w:r>
          </w:p>
          <w:p w14:paraId="604A05E3">
            <w:pPr>
              <w:numPr>
                <w:ilvl w:val="0"/>
                <w:numId w:val="20"/>
              </w:numPr>
              <w:spacing w:after="60"/>
              <w:ind w:left="0" w:leftChars="0" w:firstLine="0" w:firstLineChars="0"/>
              <w:rPr>
                <w:rFonts w:hint="eastAsia"/>
              </w:rPr>
            </w:pPr>
            <w:r>
              <w:rPr>
                <w:rFonts w:hint="eastAsia"/>
                <w:lang w:val="en-US" w:eastAsia="zh-CN"/>
              </w:rPr>
              <w:t>采用活接式铜球阀，气密性良好。</w:t>
            </w:r>
          </w:p>
          <w:p w14:paraId="070AA66E">
            <w:pPr>
              <w:numPr>
                <w:ilvl w:val="0"/>
                <w:numId w:val="20"/>
              </w:numPr>
              <w:spacing w:after="60"/>
              <w:ind w:left="0" w:leftChars="0" w:firstLine="0" w:firstLineChars="0"/>
              <w:rPr>
                <w:rFonts w:hint="eastAsia"/>
              </w:rPr>
            </w:pPr>
            <w:r>
              <w:rPr>
                <w:rFonts w:hint="eastAsia"/>
                <w:lang w:val="en-US" w:eastAsia="zh-CN"/>
              </w:rPr>
              <w:t>采用ISO32颜色标准识别气体。 </w:t>
            </w:r>
          </w:p>
          <w:p w14:paraId="1062F644">
            <w:pPr>
              <w:numPr>
                <w:ilvl w:val="0"/>
                <w:numId w:val="20"/>
              </w:numPr>
              <w:spacing w:after="60"/>
              <w:ind w:left="0" w:leftChars="0" w:firstLine="0" w:firstLineChars="0"/>
              <w:rPr>
                <w:rFonts w:hint="eastAsia"/>
              </w:rPr>
            </w:pPr>
            <w:r>
              <w:rPr>
                <w:rFonts w:hint="eastAsia"/>
                <w:lang w:val="en-US" w:eastAsia="zh-CN"/>
              </w:rPr>
              <w:t>箱体采用</w:t>
            </w:r>
            <w:r>
              <w:rPr>
                <w:rFonts w:hint="eastAsia" w:ascii="宋体" w:hAnsi="宋体" w:eastAsia="宋体" w:cs="宋体"/>
                <w:b w:val="0"/>
                <w:bCs/>
                <w:sz w:val="21"/>
                <w:szCs w:val="21"/>
              </w:rPr>
              <w:t>≥</w:t>
            </w:r>
            <w:r>
              <w:rPr>
                <w:rFonts w:hint="eastAsia"/>
                <w:lang w:val="en-US" w:eastAsia="zh-CN"/>
              </w:rPr>
              <w:t>1.2mm钢板制作，表面喷涂处理。</w:t>
            </w:r>
          </w:p>
          <w:p w14:paraId="1DD0FEF0">
            <w:pPr>
              <w:numPr>
                <w:ilvl w:val="0"/>
                <w:numId w:val="20"/>
              </w:numPr>
              <w:spacing w:after="60"/>
              <w:ind w:left="0" w:leftChars="0" w:firstLine="0" w:firstLineChars="0"/>
              <w:rPr>
                <w:rFonts w:hint="eastAsia"/>
                <w:lang w:eastAsia="zh-CN"/>
              </w:rPr>
            </w:pPr>
            <w:r>
              <w:rPr>
                <w:rFonts w:hint="eastAsia"/>
                <w:lang w:val="en-US" w:eastAsia="zh-CN"/>
              </w:rPr>
              <w:t>管路大小:氧气*22，吸引42,铜球阀，箱体带压力表，左右延长焊接管出箱</w:t>
            </w:r>
            <w:r>
              <w:rPr>
                <w:rFonts w:hint="eastAsia" w:ascii="宋体" w:hAnsi="宋体" w:eastAsia="宋体" w:cs="宋体"/>
                <w:b w:val="0"/>
                <w:bCs/>
                <w:sz w:val="21"/>
                <w:szCs w:val="21"/>
              </w:rPr>
              <w:t>≥</w:t>
            </w:r>
            <w:r>
              <w:rPr>
                <w:rFonts w:hint="eastAsia"/>
                <w:lang w:val="en-US" w:eastAsia="zh-CN"/>
              </w:rPr>
              <w:t>10mm</w:t>
            </w:r>
            <w:r>
              <w:rPr>
                <w:rFonts w:hint="eastAsia"/>
                <w:lang w:eastAsia="zh-CN"/>
              </w:rPr>
              <w:t>。</w:t>
            </w:r>
          </w:p>
          <w:p w14:paraId="4D2B1E8D">
            <w:pPr>
              <w:numPr>
                <w:ilvl w:val="0"/>
                <w:numId w:val="20"/>
              </w:numPr>
              <w:spacing w:after="60"/>
              <w:ind w:left="0" w:leftChars="0" w:firstLine="0" w:firstLineChars="0"/>
              <w:rPr>
                <w:rFonts w:hint="eastAsia"/>
              </w:rPr>
            </w:pPr>
            <w:r>
              <w:rPr>
                <w:rFonts w:hint="eastAsia"/>
                <w:lang w:val="en-US" w:eastAsia="zh-CN"/>
              </w:rPr>
              <w:t>安装方式：明装</w:t>
            </w:r>
          </w:p>
        </w:tc>
      </w:tr>
      <w:tr w14:paraId="787F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900" w:type="dxa"/>
            <w:vAlign w:val="center"/>
          </w:tcPr>
          <w:p w14:paraId="14070617">
            <w:pPr>
              <w:jc w:val="center"/>
              <w:rPr>
                <w:rFonts w:hint="default"/>
                <w:b/>
                <w:szCs w:val="21"/>
                <w:lang w:val="en-US" w:eastAsia="zh-CN"/>
              </w:rPr>
            </w:pPr>
            <w:r>
              <w:rPr>
                <w:rFonts w:hint="eastAsia"/>
                <w:b/>
                <w:szCs w:val="21"/>
                <w:lang w:val="en-US" w:eastAsia="zh-CN"/>
              </w:rPr>
              <w:t>15</w:t>
            </w:r>
          </w:p>
        </w:tc>
        <w:tc>
          <w:tcPr>
            <w:tcW w:w="1980" w:type="dxa"/>
            <w:vAlign w:val="center"/>
          </w:tcPr>
          <w:p w14:paraId="1AD456DC">
            <w:pPr>
              <w:jc w:val="center"/>
              <w:rPr>
                <w:rFonts w:hint="eastAsia"/>
                <w:b/>
                <w:szCs w:val="21"/>
                <w:lang w:val="en-US" w:eastAsia="zh-CN"/>
              </w:rPr>
            </w:pPr>
            <w:r>
              <w:rPr>
                <w:rFonts w:hint="eastAsia"/>
                <w:b/>
                <w:szCs w:val="21"/>
                <w:lang w:val="en-US" w:eastAsia="zh-CN"/>
              </w:rPr>
              <w:t>报警箱</w:t>
            </w:r>
          </w:p>
        </w:tc>
        <w:tc>
          <w:tcPr>
            <w:tcW w:w="5580" w:type="dxa"/>
          </w:tcPr>
          <w:p w14:paraId="2F85F4B0">
            <w:pPr>
              <w:numPr>
                <w:ilvl w:val="0"/>
                <w:numId w:val="0"/>
              </w:numPr>
              <w:spacing w:after="60"/>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1.</w:t>
            </w:r>
            <w:r>
              <w:rPr>
                <w:rFonts w:hint="eastAsia"/>
                <w:lang w:val="en-US" w:eastAsia="zh-CN"/>
              </w:rPr>
              <w:t>气体标识：氧气，吸引</w:t>
            </w:r>
          </w:p>
          <w:p w14:paraId="144A8411">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2.</w:t>
            </w:r>
            <w:r>
              <w:rPr>
                <w:rFonts w:hint="eastAsia"/>
                <w:lang w:val="en-US" w:eastAsia="zh-CN"/>
              </w:rPr>
              <w:t>显示方式：数码管</w:t>
            </w:r>
          </w:p>
          <w:p w14:paraId="6BEFDBB1">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3.</w:t>
            </w:r>
            <w:r>
              <w:rPr>
                <w:rFonts w:hint="eastAsia"/>
                <w:lang w:val="en-US" w:eastAsia="zh-CN"/>
              </w:rPr>
              <w:t>含箱体配件及2套压力传感器，量程-0.1-1.0MPA,连接方式球头螺母，传感器接头配黄铜</w:t>
            </w:r>
          </w:p>
          <w:p w14:paraId="4678F8AA">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4.</w:t>
            </w:r>
            <w:r>
              <w:rPr>
                <w:rFonts w:hint="eastAsia"/>
                <w:lang w:val="en-US" w:eastAsia="zh-CN"/>
              </w:rPr>
              <w:t>数字显示，声光报警</w:t>
            </w:r>
          </w:p>
          <w:p w14:paraId="72458208">
            <w:pPr>
              <w:numPr>
                <w:ilvl w:val="0"/>
                <w:numId w:val="0"/>
              </w:numPr>
              <w:spacing w:after="60"/>
              <w:ind w:left="0" w:leftChars="0" w:firstLine="0" w:firstLineChars="0"/>
              <w:rPr>
                <w:rFonts w:hint="eastAsia"/>
              </w:rPr>
            </w:pPr>
            <w:r>
              <w:rPr>
                <w:rFonts w:hint="eastAsia" w:ascii="Calibri" w:hAnsi="Calibri" w:eastAsia="宋体" w:cs="Times New Roman"/>
                <w:kern w:val="2"/>
                <w:sz w:val="21"/>
                <w:szCs w:val="22"/>
                <w:lang w:val="en-US" w:eastAsia="zh-CN" w:bidi="ar-SA"/>
              </w:rPr>
              <w:t>5.</w:t>
            </w:r>
            <w:r>
              <w:rPr>
                <w:rFonts w:hint="eastAsia"/>
                <w:lang w:val="en-US" w:eastAsia="zh-CN"/>
              </w:rPr>
              <w:t>带485通讯，无源开关量输出，可以对接情报面板</w:t>
            </w:r>
          </w:p>
        </w:tc>
      </w:tr>
      <w:tr w14:paraId="7DD4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900" w:type="dxa"/>
            <w:vAlign w:val="center"/>
          </w:tcPr>
          <w:p w14:paraId="4AA26B86">
            <w:pPr>
              <w:jc w:val="center"/>
              <w:rPr>
                <w:rFonts w:hint="default"/>
                <w:b/>
                <w:szCs w:val="21"/>
                <w:lang w:val="en-US" w:eastAsia="zh-CN"/>
              </w:rPr>
            </w:pPr>
            <w:r>
              <w:rPr>
                <w:rFonts w:hint="eastAsia"/>
                <w:b/>
                <w:szCs w:val="21"/>
                <w:lang w:val="en-US" w:eastAsia="zh-CN"/>
              </w:rPr>
              <w:t>16</w:t>
            </w:r>
          </w:p>
        </w:tc>
        <w:tc>
          <w:tcPr>
            <w:tcW w:w="1980" w:type="dxa"/>
            <w:vAlign w:val="center"/>
          </w:tcPr>
          <w:p w14:paraId="332B627C">
            <w:pPr>
              <w:jc w:val="center"/>
              <w:rPr>
                <w:rFonts w:hint="eastAsia"/>
                <w:b/>
                <w:szCs w:val="21"/>
                <w:lang w:val="en-US" w:eastAsia="zh-CN"/>
              </w:rPr>
            </w:pPr>
            <w:r>
              <w:rPr>
                <w:rFonts w:hint="eastAsia"/>
                <w:b/>
                <w:szCs w:val="21"/>
                <w:lang w:val="en-US" w:eastAsia="zh-CN"/>
              </w:rPr>
              <w:t>负压泵</w:t>
            </w:r>
          </w:p>
        </w:tc>
        <w:tc>
          <w:tcPr>
            <w:tcW w:w="5580" w:type="dxa"/>
          </w:tcPr>
          <w:p w14:paraId="26AE49BE">
            <w:pPr>
              <w:numPr>
                <w:ilvl w:val="0"/>
                <w:numId w:val="0"/>
              </w:numPr>
              <w:spacing w:after="60"/>
              <w:jc w:val="left"/>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1.</w:t>
            </w:r>
            <w:r>
              <w:rPr>
                <w:rFonts w:hint="eastAsia"/>
                <w:lang w:val="en-US" w:eastAsia="zh-CN"/>
              </w:rPr>
              <w:t>油润旋片真空泵主机</w:t>
            </w:r>
          </w:p>
          <w:p w14:paraId="5162620B">
            <w:pPr>
              <w:numPr>
                <w:ilvl w:val="0"/>
                <w:numId w:val="0"/>
              </w:numPr>
              <w:spacing w:after="60"/>
              <w:jc w:val="left"/>
              <w:rPr>
                <w:rFonts w:hint="eastAsia"/>
                <w:lang w:val="en-US" w:eastAsia="zh-CN"/>
              </w:rPr>
            </w:pPr>
            <w:r>
              <w:rPr>
                <w:rFonts w:hint="eastAsia" w:cs="Times New Roman"/>
                <w:kern w:val="2"/>
                <w:sz w:val="21"/>
                <w:szCs w:val="22"/>
                <w:lang w:val="en-US" w:eastAsia="zh-CN" w:bidi="ar-SA"/>
              </w:rPr>
              <w:t>2</w:t>
            </w:r>
            <w:r>
              <w:rPr>
                <w:rFonts w:hint="eastAsia" w:ascii="Calibri" w:hAnsi="Calibri" w:eastAsia="宋体" w:cs="Times New Roman"/>
                <w:kern w:val="2"/>
                <w:sz w:val="21"/>
                <w:szCs w:val="22"/>
                <w:lang w:val="en-US" w:eastAsia="zh-CN" w:bidi="ar-SA"/>
              </w:rPr>
              <w:t>.</w:t>
            </w:r>
            <w:r>
              <w:rPr>
                <w:rFonts w:hint="eastAsia"/>
              </w:rPr>
              <w:t>电机</w:t>
            </w:r>
            <w:r>
              <w:rPr>
                <w:rFonts w:hint="eastAsia"/>
                <w:lang w:val="en-US" w:eastAsia="zh-CN"/>
              </w:rPr>
              <w:t>额定</w:t>
            </w:r>
            <w:r>
              <w:rPr>
                <w:rFonts w:hint="eastAsia"/>
              </w:rPr>
              <w:t>功率：</w:t>
            </w:r>
            <w:r>
              <w:rPr>
                <w:rFonts w:hint="eastAsia"/>
                <w:lang w:val="en-US" w:eastAsia="zh-CN"/>
              </w:rPr>
              <w:t>1.1</w:t>
            </w:r>
            <w:r>
              <w:rPr>
                <w:rFonts w:hint="eastAsia"/>
              </w:rPr>
              <w:t>KW/台</w:t>
            </w:r>
          </w:p>
          <w:p w14:paraId="706F228D">
            <w:pPr>
              <w:numPr>
                <w:ilvl w:val="0"/>
                <w:numId w:val="0"/>
              </w:numPr>
              <w:spacing w:after="60"/>
              <w:jc w:val="left"/>
              <w:rPr>
                <w:rFonts w:hint="eastAsia"/>
                <w:lang w:val="en-US" w:eastAsia="zh-CN"/>
              </w:rPr>
            </w:pPr>
            <w:r>
              <w:rPr>
                <w:rFonts w:hint="eastAsia" w:cs="Times New Roman"/>
                <w:kern w:val="2"/>
                <w:sz w:val="21"/>
                <w:szCs w:val="22"/>
                <w:lang w:val="en-US" w:eastAsia="zh-CN" w:bidi="ar-SA"/>
              </w:rPr>
              <w:t>3</w:t>
            </w:r>
            <w:r>
              <w:rPr>
                <w:rFonts w:hint="eastAsia" w:ascii="Calibri" w:hAnsi="Calibri" w:eastAsia="宋体" w:cs="Times New Roman"/>
                <w:kern w:val="2"/>
                <w:sz w:val="21"/>
                <w:szCs w:val="22"/>
                <w:lang w:val="en-US" w:eastAsia="zh-CN" w:bidi="ar-SA"/>
              </w:rPr>
              <w:t>.</w:t>
            </w:r>
            <w:r>
              <w:rPr>
                <w:rFonts w:hint="eastAsia"/>
              </w:rPr>
              <w:t>额定抽速：</w:t>
            </w:r>
            <w:r>
              <w:rPr>
                <w:rFonts w:hint="eastAsia"/>
                <w:lang w:val="en-US" w:eastAsia="zh-CN"/>
              </w:rPr>
              <w:t>40</w:t>
            </w:r>
            <w:r>
              <w:rPr>
                <w:rFonts w:hint="eastAsia"/>
              </w:rPr>
              <w:t>m³/h</w:t>
            </w:r>
          </w:p>
          <w:p w14:paraId="181AEEF7">
            <w:pPr>
              <w:numPr>
                <w:ilvl w:val="0"/>
                <w:numId w:val="0"/>
              </w:numPr>
              <w:spacing w:after="60"/>
              <w:jc w:val="left"/>
              <w:rPr>
                <w:rFonts w:hint="eastAsia"/>
                <w:lang w:val="en-US" w:eastAsia="zh-CN"/>
              </w:rPr>
            </w:pPr>
            <w:r>
              <w:rPr>
                <w:rFonts w:hint="eastAsia" w:cs="Times New Roman"/>
                <w:kern w:val="2"/>
                <w:sz w:val="21"/>
                <w:szCs w:val="22"/>
                <w:lang w:val="en-US" w:eastAsia="zh-CN" w:bidi="ar-SA"/>
              </w:rPr>
              <w:t>4</w:t>
            </w:r>
            <w:r>
              <w:rPr>
                <w:rFonts w:hint="eastAsia" w:ascii="Calibri" w:hAnsi="Calibri" w:eastAsia="宋体" w:cs="Times New Roman"/>
                <w:kern w:val="2"/>
                <w:sz w:val="21"/>
                <w:szCs w:val="22"/>
                <w:lang w:val="en-US" w:eastAsia="zh-CN" w:bidi="ar-SA"/>
              </w:rPr>
              <w:t>.</w:t>
            </w:r>
            <w:r>
              <w:rPr>
                <w:rFonts w:hint="eastAsia"/>
                <w:lang w:val="en-US" w:eastAsia="zh-CN"/>
              </w:rPr>
              <w:t>极限压力</w:t>
            </w:r>
            <w:r>
              <w:rPr>
                <w:rFonts w:hint="eastAsia"/>
              </w:rPr>
              <w:t>：</w:t>
            </w:r>
            <w:r>
              <w:rPr>
                <w:rFonts w:hint="eastAsia"/>
                <w:lang w:val="en-US" w:eastAsia="zh-CN"/>
              </w:rPr>
              <w:t>10PA</w:t>
            </w:r>
          </w:p>
          <w:p w14:paraId="3D20E883">
            <w:pPr>
              <w:numPr>
                <w:ilvl w:val="0"/>
                <w:numId w:val="0"/>
              </w:numPr>
              <w:spacing w:after="60"/>
              <w:rPr>
                <w:rFonts w:hint="eastAsia"/>
                <w:lang w:val="en-US" w:eastAsia="zh-CN"/>
              </w:rPr>
            </w:pPr>
            <w:r>
              <w:rPr>
                <w:rFonts w:hint="eastAsia" w:cs="Times New Roman"/>
                <w:kern w:val="2"/>
                <w:sz w:val="21"/>
                <w:szCs w:val="22"/>
                <w:lang w:val="en-US" w:eastAsia="zh-CN" w:bidi="ar-SA"/>
              </w:rPr>
              <w:t>5</w:t>
            </w:r>
            <w:r>
              <w:rPr>
                <w:rFonts w:hint="eastAsia" w:ascii="Calibri" w:hAnsi="Calibri" w:eastAsia="宋体" w:cs="Times New Roman"/>
                <w:kern w:val="2"/>
                <w:sz w:val="21"/>
                <w:szCs w:val="22"/>
                <w:lang w:val="en-US" w:eastAsia="zh-CN" w:bidi="ar-SA"/>
              </w:rPr>
              <w:t>.</w:t>
            </w:r>
            <w:r>
              <w:rPr>
                <w:rFonts w:hint="eastAsia"/>
                <w:lang w:val="en-US" w:eastAsia="zh-CN"/>
              </w:rPr>
              <w:t>配套入口防回流装置及入口过滤器</w:t>
            </w:r>
          </w:p>
        </w:tc>
      </w:tr>
      <w:tr w14:paraId="1362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840EAFC">
            <w:pPr>
              <w:jc w:val="center"/>
              <w:rPr>
                <w:rFonts w:hint="default"/>
                <w:b/>
                <w:szCs w:val="21"/>
                <w:lang w:val="en-US" w:eastAsia="zh-CN"/>
              </w:rPr>
            </w:pPr>
            <w:r>
              <w:rPr>
                <w:rFonts w:hint="eastAsia"/>
                <w:b/>
                <w:szCs w:val="21"/>
                <w:lang w:val="en-US" w:eastAsia="zh-CN"/>
              </w:rPr>
              <w:t>17</w:t>
            </w:r>
          </w:p>
        </w:tc>
        <w:tc>
          <w:tcPr>
            <w:tcW w:w="1980" w:type="dxa"/>
            <w:vAlign w:val="center"/>
          </w:tcPr>
          <w:p w14:paraId="72D23CF4">
            <w:pPr>
              <w:jc w:val="center"/>
              <w:rPr>
                <w:rFonts w:hint="eastAsia"/>
                <w:b/>
                <w:szCs w:val="21"/>
                <w:lang w:val="en-US" w:eastAsia="zh-CN"/>
              </w:rPr>
            </w:pPr>
            <w:r>
              <w:rPr>
                <w:rFonts w:hint="eastAsia"/>
                <w:b/>
                <w:szCs w:val="21"/>
                <w:lang w:val="en-US" w:eastAsia="zh-CN"/>
              </w:rPr>
              <w:t>真空罐</w:t>
            </w:r>
          </w:p>
        </w:tc>
        <w:tc>
          <w:tcPr>
            <w:tcW w:w="5580" w:type="dxa"/>
          </w:tcPr>
          <w:p w14:paraId="634F1DE1">
            <w:pPr>
              <w:spacing w:after="60"/>
              <w:rPr>
                <w:rFonts w:hint="eastAsia"/>
              </w:rPr>
            </w:pPr>
            <w:r>
              <w:rPr>
                <w:rFonts w:hint="eastAsia"/>
                <w:lang w:val="en-US" w:eastAsia="zh-CN"/>
              </w:rPr>
              <w:t>容积：</w:t>
            </w:r>
            <w:r>
              <w:rPr>
                <w:rFonts w:hint="eastAsia" w:ascii="宋体" w:hAnsi="宋体" w:eastAsia="宋体" w:cs="宋体"/>
                <w:b w:val="0"/>
                <w:bCs/>
                <w:sz w:val="21"/>
                <w:szCs w:val="21"/>
              </w:rPr>
              <w:t>≥</w:t>
            </w:r>
            <w:r>
              <w:rPr>
                <w:rFonts w:hint="eastAsia"/>
                <w:lang w:val="en-US" w:eastAsia="zh-CN"/>
              </w:rPr>
              <w:t>0.4m</w:t>
            </w:r>
            <w:r>
              <w:rPr>
                <w:rFonts w:hint="eastAsia"/>
              </w:rPr>
              <w:t>³</w:t>
            </w:r>
            <w:r>
              <w:rPr>
                <w:rFonts w:hint="eastAsia"/>
                <w:lang w:eastAsia="zh-CN"/>
              </w:rPr>
              <w:t>，</w:t>
            </w:r>
            <w:r>
              <w:rPr>
                <w:rFonts w:hint="eastAsia"/>
              </w:rPr>
              <w:t>材质</w:t>
            </w:r>
            <w:r>
              <w:rPr>
                <w:rFonts w:hint="eastAsia"/>
                <w:lang w:val="en-US" w:eastAsia="zh-CN"/>
              </w:rPr>
              <w:t>：碳钢材质，压力：-0.1MPa</w:t>
            </w:r>
          </w:p>
        </w:tc>
      </w:tr>
      <w:tr w14:paraId="1A0A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12963D2">
            <w:pPr>
              <w:jc w:val="center"/>
              <w:rPr>
                <w:rFonts w:hint="default"/>
                <w:b/>
                <w:szCs w:val="21"/>
                <w:lang w:val="en-US" w:eastAsia="zh-CN"/>
              </w:rPr>
            </w:pPr>
            <w:r>
              <w:rPr>
                <w:rFonts w:hint="eastAsia"/>
                <w:b/>
                <w:szCs w:val="21"/>
                <w:lang w:val="en-US" w:eastAsia="zh-CN"/>
              </w:rPr>
              <w:t>18</w:t>
            </w:r>
          </w:p>
        </w:tc>
        <w:tc>
          <w:tcPr>
            <w:tcW w:w="1980" w:type="dxa"/>
            <w:vAlign w:val="center"/>
          </w:tcPr>
          <w:p w14:paraId="0221040C">
            <w:pPr>
              <w:jc w:val="center"/>
              <w:rPr>
                <w:rFonts w:hint="eastAsia"/>
                <w:b/>
                <w:szCs w:val="21"/>
                <w:lang w:val="en-US" w:eastAsia="zh-CN"/>
              </w:rPr>
            </w:pPr>
            <w:r>
              <w:rPr>
                <w:rFonts w:hint="eastAsia" w:ascii="宋体" w:hAnsi="宋体"/>
                <w:szCs w:val="21"/>
              </w:rPr>
              <w:t>▲</w:t>
            </w:r>
            <w:r>
              <w:rPr>
                <w:rFonts w:hint="eastAsia"/>
                <w:b/>
                <w:szCs w:val="21"/>
                <w:lang w:val="en-US" w:eastAsia="zh-CN"/>
              </w:rPr>
              <w:t>细菌过滤器</w:t>
            </w:r>
          </w:p>
        </w:tc>
        <w:tc>
          <w:tcPr>
            <w:tcW w:w="5580" w:type="dxa"/>
          </w:tcPr>
          <w:p w14:paraId="31E62CE4">
            <w:pPr>
              <w:spacing w:after="60"/>
              <w:rPr>
                <w:rFonts w:hint="eastAsia"/>
                <w:highlight w:val="none"/>
                <w:lang w:val="en-US" w:eastAsia="zh-CN"/>
              </w:rPr>
            </w:pPr>
            <w:r>
              <w:rPr>
                <w:rFonts w:hint="eastAsia"/>
                <w:highlight w:val="none"/>
                <w:lang w:val="en-US" w:eastAsia="zh-CN"/>
              </w:rPr>
              <w:t>处理流量：</w:t>
            </w:r>
            <w:r>
              <w:rPr>
                <w:rFonts w:hint="eastAsia" w:ascii="宋体" w:hAnsi="宋体" w:eastAsia="宋体" w:cs="宋体"/>
                <w:b w:val="0"/>
                <w:bCs/>
                <w:sz w:val="21"/>
                <w:szCs w:val="21"/>
                <w:highlight w:val="none"/>
              </w:rPr>
              <w:t>≥</w:t>
            </w:r>
            <w:r>
              <w:rPr>
                <w:rFonts w:hint="eastAsia"/>
                <w:highlight w:val="none"/>
                <w:lang w:val="en-US" w:eastAsia="zh-CN"/>
              </w:rPr>
              <w:t>50m³/h</w:t>
            </w:r>
          </w:p>
          <w:p w14:paraId="065251BC">
            <w:pPr>
              <w:spacing w:after="60"/>
              <w:rPr>
                <w:rFonts w:hint="eastAsia"/>
                <w:highlight w:val="none"/>
                <w:lang w:val="en-US" w:eastAsia="zh-CN"/>
              </w:rPr>
            </w:pPr>
            <w:r>
              <w:rPr>
                <w:rFonts w:hint="eastAsia"/>
                <w:highlight w:val="none"/>
                <w:lang w:val="en-US" w:eastAsia="zh-CN"/>
              </w:rPr>
              <w:t>过滤精度：0.01 um- 0.2 um</w:t>
            </w:r>
          </w:p>
          <w:p w14:paraId="6E118F27">
            <w:pPr>
              <w:spacing w:after="60"/>
              <w:rPr>
                <w:rFonts w:hint="eastAsia"/>
                <w:highlight w:val="none"/>
                <w:lang w:val="en-US" w:eastAsia="zh-CN"/>
              </w:rPr>
            </w:pPr>
            <w:r>
              <w:rPr>
                <w:rFonts w:hint="eastAsia"/>
                <w:highlight w:val="none"/>
                <w:lang w:val="en-US" w:eastAsia="zh-CN"/>
              </w:rPr>
              <w:t>过滤效率≥99.995%</w:t>
            </w:r>
          </w:p>
          <w:p w14:paraId="7B6A53B2">
            <w:pPr>
              <w:spacing w:after="60"/>
              <w:rPr>
                <w:rFonts w:hint="eastAsia"/>
                <w:highlight w:val="none"/>
                <w:lang w:val="en-US" w:eastAsia="zh-CN"/>
              </w:rPr>
            </w:pPr>
            <w:r>
              <w:rPr>
                <w:rFonts w:hint="eastAsia"/>
                <w:highlight w:val="none"/>
                <w:lang w:val="en-US" w:eastAsia="zh-CN"/>
              </w:rPr>
              <w:t>壳体材质：SS304</w:t>
            </w:r>
          </w:p>
          <w:p w14:paraId="072D56D2">
            <w:pPr>
              <w:spacing w:after="60"/>
              <w:rPr>
                <w:rFonts w:hint="default"/>
                <w:highlight w:val="none"/>
                <w:lang w:val="en-US"/>
              </w:rPr>
            </w:pPr>
            <w:r>
              <w:rPr>
                <w:rFonts w:hint="eastAsia"/>
                <w:highlight w:val="none"/>
                <w:lang w:eastAsia="zh-CN"/>
              </w:rPr>
              <w:t>投标人需同时提供：①在检验检测机构资质认定证书规定的能力范围内出具合格的检验检测报告复印件或扫描件(符合上述参数)，并在报告上加盖检验检测专用章及标注资质认定标志(CMA)，对应参数需在检验检测报告中标注；②提供“全国认证认可信息公共服务平台(http://cx.cnca.cn/)”的检测报告查询记录截图且编号一致；③投标人出具检测报告不超出委托机构检测范围的承诺函(格式自拟)。未按要求提供或者任一项不符合要求的视为负偏离；如检验检测报告中明确备注说明相关检验检测项不在该机构认证范围内的，视为负偏离。</w:t>
            </w:r>
          </w:p>
        </w:tc>
      </w:tr>
      <w:tr w14:paraId="691C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E6A2F6C">
            <w:pPr>
              <w:jc w:val="center"/>
              <w:rPr>
                <w:rFonts w:hint="default"/>
                <w:b/>
                <w:szCs w:val="21"/>
                <w:lang w:val="en-US" w:eastAsia="zh-CN"/>
              </w:rPr>
            </w:pPr>
            <w:r>
              <w:rPr>
                <w:rFonts w:hint="eastAsia"/>
                <w:b/>
                <w:szCs w:val="21"/>
                <w:lang w:val="en-US" w:eastAsia="zh-CN"/>
              </w:rPr>
              <w:t>19</w:t>
            </w:r>
          </w:p>
        </w:tc>
        <w:tc>
          <w:tcPr>
            <w:tcW w:w="1980" w:type="dxa"/>
            <w:vAlign w:val="center"/>
          </w:tcPr>
          <w:p w14:paraId="6A531C00">
            <w:pPr>
              <w:jc w:val="center"/>
              <w:rPr>
                <w:rFonts w:hint="eastAsia"/>
                <w:b/>
                <w:szCs w:val="21"/>
                <w:lang w:val="en-US" w:eastAsia="zh-CN"/>
              </w:rPr>
            </w:pPr>
            <w:r>
              <w:rPr>
                <w:rFonts w:hint="eastAsia"/>
                <w:b/>
                <w:szCs w:val="21"/>
                <w:lang w:val="en-US" w:eastAsia="zh-CN"/>
              </w:rPr>
              <w:t>中央控制柜</w:t>
            </w:r>
          </w:p>
        </w:tc>
        <w:tc>
          <w:tcPr>
            <w:tcW w:w="5580" w:type="dxa"/>
          </w:tcPr>
          <w:p w14:paraId="4416E41B">
            <w:pPr>
              <w:spacing w:after="60"/>
              <w:rPr>
                <w:rFonts w:hint="eastAsia"/>
              </w:rPr>
            </w:pPr>
            <w:r>
              <w:rPr>
                <w:rFonts w:hint="eastAsia"/>
              </w:rPr>
              <w:t>①中央控制系统：</w:t>
            </w:r>
            <w:r>
              <w:rPr>
                <w:rFonts w:hint="eastAsia" w:ascii="宋体" w:hAnsi="宋体" w:eastAsia="宋体" w:cs="宋体"/>
                <w:b w:val="0"/>
                <w:bCs/>
                <w:sz w:val="21"/>
                <w:szCs w:val="21"/>
              </w:rPr>
              <w:t>≥</w:t>
            </w:r>
            <w:r>
              <w:rPr>
                <w:rFonts w:hint="eastAsia"/>
              </w:rPr>
              <w:t>7寸液晶智能控制器，PLC控制，</w:t>
            </w:r>
            <w:r>
              <w:rPr>
                <w:rFonts w:hint="eastAsia"/>
                <w:lang w:val="en-US" w:eastAsia="zh-CN"/>
              </w:rPr>
              <w:t>具有包括</w:t>
            </w:r>
            <w:r>
              <w:rPr>
                <w:rFonts w:hint="eastAsia"/>
              </w:rPr>
              <w:t>自动、手自动一体、应急启动三种运行模式，交叉运行，实施监测运行压力、时间、报警信息、运行状态；</w:t>
            </w:r>
          </w:p>
          <w:p w14:paraId="08D82FDC">
            <w:pPr>
              <w:spacing w:after="60"/>
              <w:rPr>
                <w:rFonts w:hint="eastAsia"/>
              </w:rPr>
            </w:pPr>
            <w:r>
              <w:rPr>
                <w:rFonts w:hint="eastAsia"/>
              </w:rPr>
              <w:t>②完全冗余设计，当单一故障状态时，连续供气，每台涡旋主机具有独立开关控制</w:t>
            </w:r>
          </w:p>
          <w:p w14:paraId="1954E550">
            <w:pPr>
              <w:spacing w:after="60"/>
              <w:rPr>
                <w:rFonts w:hint="eastAsia"/>
              </w:rPr>
            </w:pPr>
            <w:r>
              <w:rPr>
                <w:rFonts w:hint="eastAsia"/>
              </w:rPr>
              <w:t>③均为分配每台涡旋机运行时间，断电自动恢复启动</w:t>
            </w:r>
          </w:p>
          <w:p w14:paraId="2AA43ED6">
            <w:pPr>
              <w:spacing w:after="60"/>
              <w:rPr>
                <w:rFonts w:hint="eastAsia"/>
              </w:rPr>
            </w:pPr>
            <w:r>
              <w:rPr>
                <w:rFonts w:hint="eastAsia"/>
              </w:rPr>
              <w:t>④具有保养提醒报警功能</w:t>
            </w:r>
          </w:p>
          <w:p w14:paraId="5260D6FF">
            <w:pPr>
              <w:spacing w:after="60"/>
              <w:rPr>
                <w:rFonts w:hint="eastAsia"/>
              </w:rPr>
            </w:pPr>
            <w:r>
              <w:rPr>
                <w:rFonts w:hint="eastAsia"/>
              </w:rPr>
              <w:t>⑤预留485通讯接口，网络端口，</w:t>
            </w:r>
          </w:p>
          <w:p w14:paraId="62EAB7BB">
            <w:pPr>
              <w:spacing w:after="60"/>
              <w:rPr>
                <w:rFonts w:hint="eastAsia"/>
              </w:rPr>
            </w:pPr>
            <w:r>
              <w:rPr>
                <w:rFonts w:hint="eastAsia"/>
              </w:rPr>
              <w:t>⑥PLC或触摸屏控制，具备应急启动功能，保证负压稳定运行；</w:t>
            </w:r>
          </w:p>
        </w:tc>
      </w:tr>
      <w:tr w14:paraId="75FA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975DA62">
            <w:pPr>
              <w:jc w:val="center"/>
              <w:rPr>
                <w:rFonts w:hint="default"/>
                <w:b/>
                <w:szCs w:val="21"/>
                <w:lang w:val="en-US" w:eastAsia="zh-CN"/>
              </w:rPr>
            </w:pPr>
            <w:r>
              <w:rPr>
                <w:rFonts w:hint="eastAsia"/>
                <w:b/>
                <w:szCs w:val="21"/>
                <w:lang w:val="en-US" w:eastAsia="zh-CN"/>
              </w:rPr>
              <w:t>20</w:t>
            </w:r>
          </w:p>
        </w:tc>
        <w:tc>
          <w:tcPr>
            <w:tcW w:w="1980" w:type="dxa"/>
            <w:vAlign w:val="center"/>
          </w:tcPr>
          <w:p w14:paraId="2E1C9AFA">
            <w:pPr>
              <w:jc w:val="center"/>
              <w:rPr>
                <w:rFonts w:hint="eastAsia"/>
                <w:b/>
                <w:szCs w:val="21"/>
                <w:lang w:val="en-US" w:eastAsia="zh-CN"/>
              </w:rPr>
            </w:pPr>
            <w:r>
              <w:rPr>
                <w:rFonts w:hint="eastAsia" w:ascii="宋体" w:hAnsi="宋体"/>
                <w:szCs w:val="21"/>
              </w:rPr>
              <w:t>▲</w:t>
            </w:r>
            <w:r>
              <w:rPr>
                <w:rFonts w:hint="eastAsia"/>
                <w:b/>
                <w:szCs w:val="21"/>
                <w:lang w:val="en-US" w:eastAsia="zh-CN"/>
              </w:rPr>
              <w:t>真空排气灭菌装置</w:t>
            </w:r>
          </w:p>
        </w:tc>
        <w:tc>
          <w:tcPr>
            <w:tcW w:w="5580" w:type="dxa"/>
          </w:tcPr>
          <w:p w14:paraId="51C300CE">
            <w:pPr>
              <w:spacing w:after="60"/>
              <w:rPr>
                <w:rFonts w:hint="eastAsia"/>
                <w:highlight w:val="none"/>
              </w:rPr>
            </w:pPr>
            <w:r>
              <w:rPr>
                <w:rFonts w:hint="eastAsia"/>
                <w:highlight w:val="none"/>
              </w:rPr>
              <w:t>①排气灭菌装置</w:t>
            </w:r>
            <w:r>
              <w:rPr>
                <w:rFonts w:hint="eastAsia"/>
                <w:highlight w:val="none"/>
                <w:lang w:eastAsia="zh-CN"/>
              </w:rPr>
              <w:t>，</w:t>
            </w:r>
            <w:r>
              <w:rPr>
                <w:rFonts w:hint="eastAsia"/>
                <w:highlight w:val="none"/>
                <w:lang w:val="en-US" w:eastAsia="zh-CN"/>
              </w:rPr>
              <w:t>排气量</w:t>
            </w:r>
            <w:r>
              <w:rPr>
                <w:rFonts w:hint="eastAsia"/>
                <w:highlight w:val="none"/>
              </w:rPr>
              <w:t>＞300m³.h，</w:t>
            </w:r>
            <w:r>
              <w:rPr>
                <w:rFonts w:hint="eastAsia"/>
                <w:highlight w:val="none"/>
                <w:lang w:val="en-US" w:eastAsia="zh-CN"/>
              </w:rPr>
              <w:t>额定功率</w:t>
            </w:r>
            <w:r>
              <w:rPr>
                <w:rFonts w:hint="eastAsia"/>
                <w:highlight w:val="none"/>
              </w:rPr>
              <w:t>1.5kw，220V电压，接入控制系统自动控制</w:t>
            </w:r>
          </w:p>
          <w:p w14:paraId="6FE17315">
            <w:pPr>
              <w:spacing w:after="60"/>
              <w:rPr>
                <w:rFonts w:hint="eastAsia"/>
                <w:highlight w:val="none"/>
              </w:rPr>
            </w:pPr>
            <w:r>
              <w:rPr>
                <w:rFonts w:hint="eastAsia"/>
                <w:highlight w:val="none"/>
              </w:rPr>
              <w:t>②采用热力高温（＞200℃）、臭氧装置、氢光离子三种功能综合杀灭，针对病菌及病毒杀灭率＞99.999%,</w:t>
            </w:r>
            <w:r>
              <w:rPr>
                <w:rFonts w:hint="eastAsia"/>
                <w:highlight w:val="none"/>
                <w:lang w:eastAsia="zh-CN"/>
              </w:rPr>
              <w:t>投标人需同时提供：①在检验检测机构资质认定证书规定的能力范围内出具合格的检验检测报告复印件或扫描件(符合上述参数)，并在报告上加盖检验检测专用章及标注资质认定标志(CMA)，对应参数需在检验检测报告中标注；②提供“全国认证认可信息公共服务平台(http://cx.cnca.cn/)”的检测报告查询记录截图且编号一致；③投标人出具检测报告不超出委托机构检测范围的承诺函(格式自拟)。未按要求提供或者任一项不符合要求的视为负偏离；如检验检测报告中明确备注说明相关检验检测项不在该机构认证范围内的，视为负偏离。</w:t>
            </w:r>
          </w:p>
          <w:p w14:paraId="103681A4">
            <w:pPr>
              <w:spacing w:after="60"/>
              <w:rPr>
                <w:rFonts w:hint="eastAsia"/>
                <w:highlight w:val="none"/>
              </w:rPr>
            </w:pPr>
            <w:r>
              <w:rPr>
                <w:rFonts w:hint="eastAsia"/>
                <w:highlight w:val="none"/>
              </w:rPr>
              <w:t>③排气口DN</w:t>
            </w:r>
            <w:r>
              <w:rPr>
                <w:rFonts w:hint="eastAsia"/>
                <w:highlight w:val="none"/>
                <w:lang w:val="en-US" w:eastAsia="zh-CN"/>
              </w:rPr>
              <w:t>50</w:t>
            </w:r>
            <w:r>
              <w:rPr>
                <w:rFonts w:hint="eastAsia"/>
                <w:highlight w:val="none"/>
              </w:rPr>
              <w:t>法兰接口</w:t>
            </w:r>
          </w:p>
        </w:tc>
      </w:tr>
      <w:tr w14:paraId="544A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11CC28A">
            <w:pPr>
              <w:jc w:val="center"/>
              <w:rPr>
                <w:rFonts w:hint="default"/>
                <w:b/>
                <w:szCs w:val="21"/>
                <w:lang w:val="en-US" w:eastAsia="zh-CN"/>
              </w:rPr>
            </w:pPr>
            <w:r>
              <w:rPr>
                <w:rFonts w:hint="eastAsia"/>
                <w:b/>
                <w:szCs w:val="21"/>
                <w:lang w:val="en-US" w:eastAsia="zh-CN"/>
              </w:rPr>
              <w:t>21</w:t>
            </w:r>
          </w:p>
        </w:tc>
        <w:tc>
          <w:tcPr>
            <w:tcW w:w="1980" w:type="dxa"/>
            <w:vAlign w:val="center"/>
          </w:tcPr>
          <w:p w14:paraId="5B84B3D3">
            <w:pPr>
              <w:jc w:val="center"/>
              <w:rPr>
                <w:rFonts w:hint="eastAsia"/>
                <w:b/>
                <w:szCs w:val="21"/>
                <w:lang w:val="en-US" w:eastAsia="zh-CN"/>
              </w:rPr>
            </w:pPr>
            <w:r>
              <w:rPr>
                <w:rFonts w:hint="eastAsia"/>
                <w:b/>
                <w:szCs w:val="21"/>
                <w:lang w:val="en-US" w:eastAsia="zh-CN"/>
              </w:rPr>
              <w:t>吸气管路及钣金底架</w:t>
            </w:r>
          </w:p>
        </w:tc>
        <w:tc>
          <w:tcPr>
            <w:tcW w:w="5580" w:type="dxa"/>
          </w:tcPr>
          <w:p w14:paraId="4E1A4A3A">
            <w:pPr>
              <w:spacing w:after="60"/>
              <w:rPr>
                <w:rFonts w:hint="eastAsia"/>
              </w:rPr>
            </w:pPr>
            <w:r>
              <w:rPr>
                <w:rFonts w:hint="eastAsia"/>
              </w:rPr>
              <w:t>一体式撬装机座，钣金喷粉烤漆，内部不锈钢管道连接，</w:t>
            </w:r>
            <w:r>
              <w:rPr>
                <w:rFonts w:hint="eastAsia"/>
                <w:lang w:val="en-US" w:eastAsia="zh-CN"/>
              </w:rPr>
              <w:t>出厂</w:t>
            </w:r>
            <w:r>
              <w:rPr>
                <w:rFonts w:hint="eastAsia"/>
              </w:rPr>
              <w:t xml:space="preserve">包装 </w:t>
            </w:r>
          </w:p>
        </w:tc>
      </w:tr>
    </w:tbl>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cs="宋体"/>
          <w:b/>
          <w:bCs/>
          <w:sz w:val="21"/>
          <w:szCs w:val="21"/>
          <w:lang w:val="en-US" w:eastAsia="zh-CN"/>
        </w:rPr>
        <w:t>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p w14:paraId="2670304E">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20"/>
        <w:gridCol w:w="5940"/>
      </w:tblGrid>
      <w:tr w14:paraId="5298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60" w:type="dxa"/>
            <w:vAlign w:val="center"/>
          </w:tcPr>
          <w:p w14:paraId="6A548A5E">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620" w:type="dxa"/>
            <w:vAlign w:val="center"/>
          </w:tcPr>
          <w:p w14:paraId="5C38AB2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5940" w:type="dxa"/>
            <w:vAlign w:val="center"/>
          </w:tcPr>
          <w:p w14:paraId="4FFCF77A">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招标商务要求</w:t>
            </w:r>
          </w:p>
        </w:tc>
      </w:tr>
      <w:tr w14:paraId="2D92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60" w:type="dxa"/>
            <w:vAlign w:val="center"/>
          </w:tcPr>
          <w:p w14:paraId="17B00BCA">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Align w:val="center"/>
          </w:tcPr>
          <w:p w14:paraId="17316F16">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highlight w:val="yellow"/>
              </w:rPr>
              <w:t>★报价要求</w:t>
            </w:r>
          </w:p>
        </w:tc>
        <w:tc>
          <w:tcPr>
            <w:tcW w:w="5940" w:type="dxa"/>
            <w:vAlign w:val="top"/>
          </w:tcPr>
          <w:p w14:paraId="2B7D0A2F">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投标报价以人民币报价，为工地交货价。货物总价内包含但不限于的相关的费用有：原材料和配件费、深化设计、生产加工、安装、调试，通过有关主管部门的验收，运至合同指定地点的包装、运输、装卸、安装，技术培训，检查、检验，及保修、利润、风险金、国家规定的各项税费。</w:t>
            </w:r>
          </w:p>
        </w:tc>
      </w:tr>
      <w:tr w14:paraId="6C44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260" w:type="dxa"/>
            <w:vAlign w:val="center"/>
          </w:tcPr>
          <w:p w14:paraId="79267D19">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2</w:t>
            </w:r>
          </w:p>
        </w:tc>
        <w:tc>
          <w:tcPr>
            <w:tcW w:w="1620" w:type="dxa"/>
            <w:vAlign w:val="center"/>
          </w:tcPr>
          <w:p w14:paraId="381AA6C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★控制金额</w:t>
            </w:r>
          </w:p>
        </w:tc>
        <w:tc>
          <w:tcPr>
            <w:tcW w:w="5940" w:type="dxa"/>
            <w:vAlign w:val="top"/>
          </w:tcPr>
          <w:p w14:paraId="27E56823">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本项目控制金额为人民币</w:t>
            </w:r>
            <w:r>
              <w:rPr>
                <w:rFonts w:hint="eastAsia" w:asciiTheme="minorEastAsia" w:hAnsiTheme="minorEastAsia" w:eastAsiaTheme="minorEastAsia"/>
                <w:b/>
                <w:kern w:val="0"/>
                <w:szCs w:val="21"/>
                <w:highlight w:val="yellow"/>
                <w:u w:val="single"/>
                <w:lang w:val="en-US" w:eastAsia="zh-CN"/>
              </w:rPr>
              <w:t>30</w:t>
            </w:r>
            <w:r>
              <w:rPr>
                <w:rFonts w:hint="eastAsia" w:asciiTheme="minorEastAsia" w:hAnsiTheme="minorEastAsia" w:eastAsiaTheme="minorEastAsia"/>
                <w:b/>
                <w:kern w:val="0"/>
                <w:szCs w:val="21"/>
                <w:highlight w:val="yellow"/>
              </w:rPr>
              <w:t>万元整，超出控制金额将被当作无效投标处理。</w:t>
            </w:r>
          </w:p>
        </w:tc>
      </w:tr>
      <w:tr w14:paraId="005D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1BF0A336">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3</w:t>
            </w:r>
          </w:p>
        </w:tc>
        <w:tc>
          <w:tcPr>
            <w:tcW w:w="1620" w:type="dxa"/>
            <w:vAlign w:val="center"/>
          </w:tcPr>
          <w:p w14:paraId="21784F8E">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★交货地点</w:t>
            </w:r>
          </w:p>
        </w:tc>
        <w:tc>
          <w:tcPr>
            <w:tcW w:w="5940" w:type="dxa"/>
            <w:vAlign w:val="top"/>
          </w:tcPr>
          <w:p w14:paraId="57DA3A85">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深圳市宝安区福永人民医院，由采购人指定具体交货地点。</w:t>
            </w:r>
          </w:p>
        </w:tc>
      </w:tr>
      <w:tr w14:paraId="2F0A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260" w:type="dxa"/>
            <w:vAlign w:val="center"/>
          </w:tcPr>
          <w:p w14:paraId="07604DD2">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4</w:t>
            </w:r>
          </w:p>
        </w:tc>
        <w:tc>
          <w:tcPr>
            <w:tcW w:w="1620" w:type="dxa"/>
            <w:vAlign w:val="center"/>
          </w:tcPr>
          <w:p w14:paraId="1A4FB85F">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★交货时间</w:t>
            </w:r>
          </w:p>
        </w:tc>
        <w:tc>
          <w:tcPr>
            <w:tcW w:w="5940" w:type="dxa"/>
            <w:vAlign w:val="top"/>
          </w:tcPr>
          <w:p w14:paraId="4C78088D">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签订合同后</w:t>
            </w:r>
            <w:r>
              <w:rPr>
                <w:rFonts w:hint="eastAsia" w:asciiTheme="minorEastAsia" w:hAnsiTheme="minorEastAsia" w:eastAsiaTheme="minorEastAsia"/>
                <w:b/>
                <w:kern w:val="0"/>
                <w:szCs w:val="21"/>
                <w:highlight w:val="yellow"/>
                <w:u w:val="single"/>
                <w:lang w:val="en-US" w:eastAsia="zh-CN"/>
              </w:rPr>
              <w:t>9</w:t>
            </w:r>
            <w:r>
              <w:rPr>
                <w:rFonts w:hint="eastAsia" w:asciiTheme="minorEastAsia" w:hAnsiTheme="minorEastAsia" w:eastAsiaTheme="minorEastAsia"/>
                <w:b/>
                <w:kern w:val="0"/>
                <w:szCs w:val="21"/>
                <w:highlight w:val="yellow"/>
                <w:u w:val="single"/>
              </w:rPr>
              <w:t>0</w:t>
            </w:r>
            <w:r>
              <w:rPr>
                <w:rFonts w:hint="eastAsia" w:asciiTheme="minorEastAsia" w:hAnsiTheme="minorEastAsia" w:eastAsiaTheme="minorEastAsia"/>
                <w:b/>
                <w:kern w:val="0"/>
                <w:szCs w:val="21"/>
                <w:highlight w:val="yellow"/>
              </w:rPr>
              <w:t>个日历日内交货</w:t>
            </w:r>
          </w:p>
        </w:tc>
      </w:tr>
      <w:tr w14:paraId="765F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2A931960">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5</w:t>
            </w:r>
          </w:p>
        </w:tc>
        <w:tc>
          <w:tcPr>
            <w:tcW w:w="1620" w:type="dxa"/>
            <w:vAlign w:val="center"/>
          </w:tcPr>
          <w:p w14:paraId="00A78D2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★付款方式</w:t>
            </w:r>
          </w:p>
        </w:tc>
        <w:tc>
          <w:tcPr>
            <w:tcW w:w="5940" w:type="dxa"/>
            <w:vAlign w:val="top"/>
          </w:tcPr>
          <w:p w14:paraId="5CA38DF5">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签订合同后，设备到货安装验收合格并收到</w:t>
            </w:r>
            <w:r>
              <w:rPr>
                <w:rFonts w:hint="eastAsia" w:asciiTheme="minorEastAsia" w:hAnsiTheme="minorEastAsia" w:eastAsiaTheme="minorEastAsia"/>
                <w:b/>
                <w:kern w:val="0"/>
                <w:szCs w:val="21"/>
                <w:highlight w:val="yellow"/>
                <w:lang w:val="en-US" w:eastAsia="zh-CN"/>
              </w:rPr>
              <w:t>中标人</w:t>
            </w:r>
            <w:r>
              <w:rPr>
                <w:rFonts w:hint="eastAsia" w:asciiTheme="minorEastAsia" w:hAnsiTheme="minorEastAsia" w:eastAsiaTheme="minorEastAsia"/>
                <w:b/>
                <w:kern w:val="0"/>
                <w:szCs w:val="21"/>
                <w:highlight w:val="yellow"/>
              </w:rPr>
              <w:t>开具的正规等额发票后的</w:t>
            </w:r>
            <w:r>
              <w:rPr>
                <w:rFonts w:hint="eastAsia" w:asciiTheme="minorEastAsia" w:hAnsiTheme="minorEastAsia" w:eastAsiaTheme="minorEastAsia"/>
                <w:b/>
                <w:kern w:val="0"/>
                <w:szCs w:val="21"/>
                <w:highlight w:val="yellow"/>
                <w:u w:val="single"/>
              </w:rPr>
              <w:t>10</w:t>
            </w:r>
            <w:r>
              <w:rPr>
                <w:rFonts w:hint="eastAsia" w:asciiTheme="minorEastAsia" w:hAnsiTheme="minorEastAsia" w:eastAsiaTheme="minorEastAsia"/>
                <w:b/>
                <w:kern w:val="0"/>
                <w:szCs w:val="21"/>
                <w:highlight w:val="yellow"/>
              </w:rPr>
              <w:t>个工作日内，</w:t>
            </w:r>
            <w:r>
              <w:rPr>
                <w:rFonts w:hint="eastAsia" w:asciiTheme="minorEastAsia" w:hAnsiTheme="minorEastAsia" w:eastAsiaTheme="minorEastAsia"/>
                <w:b/>
                <w:kern w:val="0"/>
                <w:szCs w:val="21"/>
                <w:highlight w:val="yellow"/>
                <w:lang w:val="en-US" w:eastAsia="zh-CN"/>
              </w:rPr>
              <w:t>采购人</w:t>
            </w:r>
            <w:r>
              <w:rPr>
                <w:rFonts w:hint="eastAsia" w:asciiTheme="minorEastAsia" w:hAnsiTheme="minorEastAsia" w:eastAsiaTheme="minorEastAsia"/>
                <w:b/>
                <w:kern w:val="0"/>
                <w:szCs w:val="21"/>
                <w:highlight w:val="yellow"/>
              </w:rPr>
              <w:t>支付合同价款100%给</w:t>
            </w:r>
            <w:r>
              <w:rPr>
                <w:rFonts w:hint="eastAsia" w:asciiTheme="minorEastAsia" w:hAnsiTheme="minorEastAsia" w:eastAsiaTheme="minorEastAsia"/>
                <w:b/>
                <w:kern w:val="0"/>
                <w:szCs w:val="21"/>
                <w:highlight w:val="yellow"/>
                <w:lang w:val="en-US" w:eastAsia="zh-CN"/>
              </w:rPr>
              <w:t>中标人</w:t>
            </w:r>
            <w:r>
              <w:rPr>
                <w:rFonts w:hint="eastAsia" w:asciiTheme="minorEastAsia" w:hAnsiTheme="minorEastAsia" w:eastAsiaTheme="minorEastAsia"/>
                <w:b/>
                <w:kern w:val="0"/>
                <w:szCs w:val="21"/>
                <w:highlight w:val="yellow"/>
              </w:rPr>
              <w:t>。</w:t>
            </w:r>
          </w:p>
        </w:tc>
      </w:tr>
      <w:tr w14:paraId="1E6A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260" w:type="dxa"/>
            <w:vAlign w:val="center"/>
          </w:tcPr>
          <w:p w14:paraId="1924F8BC">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6</w:t>
            </w:r>
          </w:p>
        </w:tc>
        <w:tc>
          <w:tcPr>
            <w:tcW w:w="1620" w:type="dxa"/>
            <w:vAlign w:val="center"/>
          </w:tcPr>
          <w:p w14:paraId="5F16C0FF">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highlight w:val="yellow"/>
              </w:rPr>
              <w:t>★验收方式</w:t>
            </w:r>
          </w:p>
        </w:tc>
        <w:tc>
          <w:tcPr>
            <w:tcW w:w="5940" w:type="dxa"/>
            <w:vAlign w:val="top"/>
          </w:tcPr>
          <w:p w14:paraId="169570B0">
            <w:pPr>
              <w:spacing w:line="360" w:lineRule="auto"/>
              <w:rPr>
                <w:rFonts w:hint="eastAsia" w:asciiTheme="minorEastAsia" w:hAnsiTheme="minorEastAsia" w:eastAsiaTheme="minorEastAsia"/>
                <w:b/>
                <w:kern w:val="0"/>
                <w:szCs w:val="21"/>
                <w:highlight w:val="yellow"/>
                <w:lang w:eastAsia="zh-CN"/>
              </w:rPr>
            </w:pPr>
            <w:r>
              <w:rPr>
                <w:rFonts w:hint="eastAsia" w:asciiTheme="minorEastAsia" w:hAnsiTheme="minorEastAsia" w:eastAsiaTheme="minorEastAsia"/>
                <w:b/>
                <w:kern w:val="0"/>
                <w:szCs w:val="21"/>
                <w:highlight w:val="yellow"/>
              </w:rPr>
              <w:t>1、货到安装，现场验收。中标人须向采购人提供全套的材料、设备配置清单、检验产品合格证、使用说明书及其他技术资料，进口设备还需要提供正常报关证明和商检合格证明。中标人负责通知厂家派有经验的技术人员到现场进行安装、调试，直到设备正常使用。因</w:t>
            </w:r>
            <w:r>
              <w:rPr>
                <w:rFonts w:hint="eastAsia" w:asciiTheme="minorEastAsia" w:hAnsiTheme="minorEastAsia" w:eastAsiaTheme="minorEastAsia"/>
                <w:b/>
                <w:kern w:val="0"/>
                <w:szCs w:val="21"/>
                <w:highlight w:val="yellow"/>
                <w:lang w:val="en-US" w:eastAsia="zh-CN"/>
              </w:rPr>
              <w:t>采购人</w:t>
            </w:r>
            <w:r>
              <w:rPr>
                <w:rFonts w:hint="eastAsia" w:asciiTheme="minorEastAsia" w:hAnsiTheme="minorEastAsia" w:eastAsiaTheme="minorEastAsia"/>
                <w:b/>
                <w:kern w:val="0"/>
                <w:szCs w:val="21"/>
                <w:highlight w:val="yellow"/>
              </w:rPr>
              <w:t>现场不具备安装调试条件导致工期延误时，安装调试完工日期应当顺延，具体顺延期限由</w:t>
            </w:r>
            <w:r>
              <w:rPr>
                <w:rFonts w:hint="eastAsia" w:asciiTheme="minorEastAsia" w:hAnsiTheme="minorEastAsia" w:eastAsiaTheme="minorEastAsia"/>
                <w:b/>
                <w:kern w:val="0"/>
                <w:szCs w:val="21"/>
                <w:highlight w:val="yellow"/>
                <w:lang w:val="en-US" w:eastAsia="zh-CN"/>
              </w:rPr>
              <w:t>采购人和中标人</w:t>
            </w:r>
            <w:r>
              <w:rPr>
                <w:rFonts w:hint="eastAsia" w:asciiTheme="minorEastAsia" w:hAnsiTheme="minorEastAsia" w:eastAsiaTheme="minorEastAsia"/>
                <w:b/>
                <w:kern w:val="0"/>
                <w:szCs w:val="21"/>
                <w:highlight w:val="yellow"/>
              </w:rPr>
              <w:t>双方商定</w:t>
            </w:r>
            <w:r>
              <w:rPr>
                <w:rFonts w:hint="eastAsia" w:asciiTheme="minorEastAsia" w:hAnsiTheme="minorEastAsia" w:eastAsiaTheme="minorEastAsia"/>
                <w:b/>
                <w:kern w:val="0"/>
                <w:szCs w:val="21"/>
                <w:highlight w:val="yellow"/>
                <w:lang w:eastAsia="zh-CN"/>
              </w:rPr>
              <w:t>。</w:t>
            </w:r>
          </w:p>
          <w:p w14:paraId="0C790F1F">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2、设备安装调试正常使用后</w:t>
            </w:r>
            <w:r>
              <w:rPr>
                <w:rFonts w:hint="eastAsia" w:asciiTheme="minorEastAsia" w:hAnsiTheme="minorEastAsia" w:eastAsiaTheme="minorEastAsia"/>
                <w:b/>
                <w:kern w:val="0"/>
                <w:szCs w:val="21"/>
                <w:highlight w:val="yellow"/>
                <w:u w:val="single"/>
              </w:rPr>
              <w:t>20</w:t>
            </w:r>
            <w:r>
              <w:rPr>
                <w:rFonts w:hint="eastAsia" w:asciiTheme="minorEastAsia" w:hAnsiTheme="minorEastAsia" w:eastAsiaTheme="minorEastAsia"/>
                <w:b/>
                <w:kern w:val="0"/>
                <w:szCs w:val="21"/>
                <w:highlight w:val="yellow"/>
              </w:rPr>
              <w:t>个工作日内进行验收，由使用科室、设备科、厂家代表、中标人等代表在场进行验收，维保期从验收合格之日起计。</w:t>
            </w:r>
          </w:p>
          <w:p w14:paraId="14EA210C">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3、产品质量和安装调试检验标准遵照国家相关规定和最新标准以及招标文件执行。验收中如发现有质量不合格或型号规格、数量、技术参数等不符招标文件的情况，中标人应免费更换或补齐，并承担因此产生的任何费用及采购人全部损失。经更换或补齐后，仍不符合要求的，采购人有权单方解除合同。中标人提供的货物经过双方检验认可后，采购人签署验收报告。</w:t>
            </w:r>
          </w:p>
          <w:p w14:paraId="14F06F20">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4、对于未发现的隐蔽质量瑕疵，若在维保期内发现的，采购人除有权要求中标人采取修理、更换或退货等处理措施并赔偿采购人因此遭受的经济损失外，还有权要求延长保修期（针对修理设备的情形）或重新计算维保期（针对更换设备的情形）。</w:t>
            </w:r>
          </w:p>
          <w:p w14:paraId="553A218C">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5、当满足以下条件时，采购人才向中标人签发货物验收报告：</w:t>
            </w:r>
          </w:p>
          <w:p w14:paraId="13D02D92">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（1）中标人已按照合同规定提供了全部产品及完整的技术资料；</w:t>
            </w:r>
          </w:p>
          <w:p w14:paraId="03199F36">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（2）货物符合招标文件技术规格书的要求，性能满足要求；</w:t>
            </w:r>
          </w:p>
          <w:p w14:paraId="22461C0E">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（3）货物具备产品合格证；</w:t>
            </w:r>
          </w:p>
          <w:p w14:paraId="50D6FEA5">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（4）提供维修手册、售后服务承诺书、中文操作手册。</w:t>
            </w:r>
          </w:p>
          <w:p w14:paraId="709016E6">
            <w:pPr>
              <w:spacing w:line="360" w:lineRule="auto"/>
              <w:rPr>
                <w:rFonts w:asciiTheme="minorEastAsia" w:hAnsiTheme="minorEastAsia" w:eastAsiaTheme="minorEastAsia"/>
                <w:bCs/>
                <w:szCs w:val="21"/>
              </w:rPr>
            </w:pPr>
            <w:r>
              <w:rPr>
                <w:rFonts w:hint="eastAsia" w:asciiTheme="minorEastAsia" w:hAnsiTheme="minorEastAsia" w:eastAsiaTheme="minorEastAsia"/>
                <w:b/>
                <w:kern w:val="0"/>
                <w:szCs w:val="21"/>
                <w:highlight w:val="yellow"/>
                <w:lang w:val="en-US" w:eastAsia="zh-CN"/>
              </w:rPr>
              <w:t>6、若采购人对中标产品质量有质疑，中标人需无条件配合采购人委托有资质的第三方质量检测部门按照招投标文件进行技术参数检测确认，委托检测验收事项由中标人负责。检测报告的结果为合格，采购人将履行采购合同；若检测报告不合格，采购人有权单方解除合同，因此造成的经济损失由中标人承担</w:t>
            </w:r>
            <w:r>
              <w:rPr>
                <w:rFonts w:hint="eastAsia" w:asciiTheme="minorEastAsia" w:hAnsiTheme="minorEastAsia" w:eastAsiaTheme="minorEastAsia"/>
                <w:b/>
                <w:kern w:val="0"/>
                <w:szCs w:val="21"/>
                <w:highlight w:val="yellow"/>
              </w:rPr>
              <w:t>。</w:t>
            </w:r>
          </w:p>
        </w:tc>
      </w:tr>
      <w:tr w14:paraId="5487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260" w:type="dxa"/>
            <w:vAlign w:val="center"/>
          </w:tcPr>
          <w:p w14:paraId="7EE334B0">
            <w:pPr>
              <w:spacing w:line="360" w:lineRule="auto"/>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b/>
                <w:szCs w:val="21"/>
                <w:lang w:val="en-US" w:eastAsia="zh-CN"/>
              </w:rPr>
              <w:t>7</w:t>
            </w:r>
          </w:p>
        </w:tc>
        <w:tc>
          <w:tcPr>
            <w:tcW w:w="1620" w:type="dxa"/>
            <w:vAlign w:val="center"/>
          </w:tcPr>
          <w:p w14:paraId="797936AA">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highlight w:val="yellow"/>
              </w:rPr>
              <w:t>★包装及运输要求</w:t>
            </w:r>
          </w:p>
        </w:tc>
        <w:tc>
          <w:tcPr>
            <w:tcW w:w="5940" w:type="dxa"/>
            <w:vAlign w:val="top"/>
          </w:tcPr>
          <w:p w14:paraId="2C5B6C40">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1.包装方式按照原厂出厂原标准，外包装到货时应完好无损，包装费用由中标人承担，外包装破损时采购人有权拒绝收货。中标人承担由于其包装或其防护措施不妥而引起的货物锈蚀、损坏和丢失等任何损失，并承担因此而发生的违约责任。</w:t>
            </w:r>
          </w:p>
          <w:p w14:paraId="28DF4B40">
            <w:pPr>
              <w:spacing w:line="360" w:lineRule="auto"/>
              <w:rPr>
                <w:rFonts w:asciiTheme="minorEastAsia" w:hAnsiTheme="minorEastAsia" w:eastAsiaTheme="minorEastAsia"/>
                <w:bCs/>
                <w:szCs w:val="21"/>
              </w:rPr>
            </w:pPr>
            <w:r>
              <w:rPr>
                <w:rFonts w:hint="eastAsia" w:asciiTheme="minorEastAsia" w:hAnsiTheme="minorEastAsia" w:eastAsiaTheme="minorEastAsia"/>
                <w:b/>
                <w:kern w:val="0"/>
                <w:szCs w:val="21"/>
                <w:highlight w:val="yellow"/>
                <w:lang w:val="en-US" w:eastAsia="zh-CN"/>
              </w:rPr>
              <w:t>2.中标人负责送货上门，中标人应确保产品运输过程的安全性。中标人将货物运至双方约定的交付地点，卸载、摆放至甲方指定的位置，并办理相关交货手续，运费及包装清理费由中标人承担。</w:t>
            </w:r>
          </w:p>
        </w:tc>
      </w:tr>
      <w:tr w14:paraId="37EA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60" w:type="dxa"/>
            <w:vAlign w:val="center"/>
          </w:tcPr>
          <w:p w14:paraId="720398D5">
            <w:pPr>
              <w:spacing w:line="360" w:lineRule="auto"/>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b/>
                <w:szCs w:val="21"/>
                <w:lang w:val="en-US" w:eastAsia="zh-CN"/>
              </w:rPr>
              <w:t>8</w:t>
            </w:r>
          </w:p>
        </w:tc>
        <w:tc>
          <w:tcPr>
            <w:tcW w:w="1620" w:type="dxa"/>
            <w:vAlign w:val="center"/>
          </w:tcPr>
          <w:p w14:paraId="7054D9DD">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highlight w:val="yellow"/>
              </w:rPr>
              <w:t>★售后服务要求</w:t>
            </w:r>
          </w:p>
        </w:tc>
        <w:tc>
          <w:tcPr>
            <w:tcW w:w="5940" w:type="dxa"/>
            <w:vAlign w:val="top"/>
          </w:tcPr>
          <w:p w14:paraId="57C488F4">
            <w:pPr>
              <w:numPr>
                <w:ilvl w:val="0"/>
                <w:numId w:val="0"/>
              </w:numPr>
              <w:spacing w:line="360" w:lineRule="auto"/>
              <w:rPr>
                <w:rFonts w:hint="eastAsia" w:asciiTheme="minorEastAsia" w:hAnsiTheme="minorEastAsia" w:eastAsiaTheme="minorEastAsia"/>
                <w:b/>
                <w:kern w:val="0"/>
                <w:szCs w:val="21"/>
                <w:highlight w:val="yellow"/>
              </w:rPr>
            </w:pPr>
            <w:r>
              <w:rPr>
                <w:rFonts w:hint="eastAsia" w:cs="Times New Roman" w:asciiTheme="minorEastAsia" w:hAnsiTheme="minorEastAsia" w:eastAsiaTheme="minorEastAsia"/>
                <w:b/>
                <w:kern w:val="0"/>
                <w:sz w:val="21"/>
                <w:szCs w:val="21"/>
                <w:highlight w:val="yellow"/>
                <w:lang w:val="en-US" w:eastAsia="zh-CN" w:bidi="ar-SA"/>
              </w:rPr>
              <w:t>1.设备安装调试验收合格之日起，原厂免费整机维保期≥5年，终身维修(保证10年以上零配件供应)，因质量问题造成设备全部或部分停止使用的时间，维保期予以相应的延长；软件终身免费升级。</w:t>
            </w:r>
          </w:p>
          <w:p w14:paraId="19F6DD25">
            <w:pPr>
              <w:numPr>
                <w:ilvl w:val="0"/>
                <w:numId w:val="0"/>
              </w:numPr>
              <w:spacing w:line="360" w:lineRule="auto"/>
              <w:ind w:left="0" w:leftChars="0" w:firstLine="0" w:firstLineChars="0"/>
              <w:rPr>
                <w:rFonts w:hint="eastAsia" w:asciiTheme="minorEastAsia" w:hAnsiTheme="minorEastAsia" w:eastAsiaTheme="minorEastAsia"/>
                <w:b/>
                <w:kern w:val="0"/>
                <w:szCs w:val="21"/>
                <w:highlight w:val="yellow"/>
                <w:lang w:val="en-US" w:eastAsia="zh-CN"/>
              </w:rPr>
            </w:pPr>
            <w:r>
              <w:rPr>
                <w:rFonts w:hint="eastAsia" w:asciiTheme="minorEastAsia" w:hAnsiTheme="minorEastAsia" w:eastAsiaTheme="minorEastAsia"/>
                <w:b/>
                <w:kern w:val="0"/>
                <w:szCs w:val="21"/>
                <w:highlight w:val="yellow"/>
                <w:lang w:val="en-US" w:eastAsia="zh-CN"/>
              </w:rPr>
              <w:t>2.提供技术资料、中文操作手册</w:t>
            </w:r>
          </w:p>
          <w:p w14:paraId="4C8E0E06">
            <w:pPr>
              <w:numPr>
                <w:ilvl w:val="0"/>
                <w:numId w:val="0"/>
              </w:numPr>
              <w:spacing w:line="360" w:lineRule="auto"/>
              <w:ind w:left="0" w:leftChars="0" w:firstLine="0" w:firstLineChars="0"/>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lang w:val="en-US" w:eastAsia="zh-CN"/>
              </w:rPr>
              <w:t>3.维保期内，中标人应当每</w:t>
            </w:r>
            <w:r>
              <w:rPr>
                <w:rFonts w:hint="eastAsia" w:asciiTheme="minorEastAsia" w:hAnsiTheme="minorEastAsia" w:eastAsiaTheme="minorEastAsia"/>
                <w:b/>
                <w:kern w:val="0"/>
                <w:szCs w:val="21"/>
                <w:highlight w:val="yellow"/>
                <w:u w:val="single"/>
                <w:lang w:val="en-US" w:eastAsia="zh-CN"/>
              </w:rPr>
              <w:t xml:space="preserve"> 叁 </w:t>
            </w:r>
            <w:r>
              <w:rPr>
                <w:rFonts w:hint="eastAsia" w:asciiTheme="minorEastAsia" w:hAnsiTheme="minorEastAsia" w:eastAsiaTheme="minorEastAsia"/>
                <w:b/>
                <w:kern w:val="0"/>
                <w:szCs w:val="21"/>
                <w:highlight w:val="yellow"/>
                <w:lang w:val="en-US" w:eastAsia="zh-CN"/>
              </w:rPr>
              <w:t>个月至采购人现场对设备进行预防性维护保养，必须提供设备原厂定期维护服务计划，并附维护清单。定期检测系统、数据库、以及消息的运行状况，并做好相应的记录以书面形式报告给采购人</w:t>
            </w:r>
            <w:r>
              <w:rPr>
                <w:rFonts w:hint="eastAsia" w:asciiTheme="minorEastAsia" w:hAnsiTheme="minorEastAsia" w:eastAsiaTheme="minorEastAsia"/>
                <w:b/>
                <w:kern w:val="0"/>
                <w:szCs w:val="21"/>
                <w:highlight w:val="yellow"/>
              </w:rPr>
              <w:t>。</w:t>
            </w:r>
          </w:p>
          <w:p w14:paraId="4C74347C">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lang w:val="en-US" w:eastAsia="zh-CN"/>
              </w:rPr>
              <w:t>4.维保期内，中标人应对设备因质量出现的问题免费修复，并且要在</w:t>
            </w:r>
            <w:r>
              <w:rPr>
                <w:rFonts w:hint="eastAsia" w:asciiTheme="minorEastAsia" w:hAnsiTheme="minorEastAsia" w:eastAsiaTheme="minorEastAsia"/>
                <w:b/>
                <w:kern w:val="0"/>
                <w:szCs w:val="21"/>
                <w:highlight w:val="yellow"/>
                <w:u w:val="single"/>
                <w:lang w:val="en-US" w:eastAsia="zh-CN"/>
              </w:rPr>
              <w:t>2</w:t>
            </w:r>
            <w:r>
              <w:rPr>
                <w:rFonts w:hint="eastAsia" w:asciiTheme="minorEastAsia" w:hAnsiTheme="minorEastAsia" w:eastAsiaTheme="minorEastAsia"/>
                <w:b/>
                <w:kern w:val="0"/>
                <w:szCs w:val="21"/>
                <w:highlight w:val="yellow"/>
                <w:lang w:val="en-US" w:eastAsia="zh-CN"/>
              </w:rPr>
              <w:t>小时内响应，</w:t>
            </w:r>
            <w:r>
              <w:rPr>
                <w:rFonts w:hint="eastAsia" w:asciiTheme="minorEastAsia" w:hAnsiTheme="minorEastAsia" w:eastAsiaTheme="minorEastAsia"/>
                <w:b/>
                <w:kern w:val="0"/>
                <w:szCs w:val="21"/>
                <w:highlight w:val="yellow"/>
                <w:u w:val="single"/>
                <w:lang w:val="en-US" w:eastAsia="zh-CN"/>
              </w:rPr>
              <w:t>8</w:t>
            </w:r>
            <w:r>
              <w:rPr>
                <w:rFonts w:hint="eastAsia" w:asciiTheme="minorEastAsia" w:hAnsiTheme="minorEastAsia" w:eastAsiaTheme="minorEastAsia"/>
                <w:b/>
                <w:kern w:val="0"/>
                <w:szCs w:val="21"/>
                <w:highlight w:val="yellow"/>
                <w:lang w:val="en-US" w:eastAsia="zh-CN"/>
              </w:rPr>
              <w:t>小时内到达现场维修，并在</w:t>
            </w:r>
            <w:r>
              <w:rPr>
                <w:rFonts w:hint="eastAsia" w:asciiTheme="minorEastAsia" w:hAnsiTheme="minorEastAsia" w:eastAsiaTheme="minorEastAsia"/>
                <w:b/>
                <w:kern w:val="0"/>
                <w:szCs w:val="21"/>
                <w:highlight w:val="yellow"/>
                <w:u w:val="single"/>
                <w:lang w:val="en-US" w:eastAsia="zh-CN"/>
              </w:rPr>
              <w:t xml:space="preserve"> 48 </w:t>
            </w:r>
            <w:r>
              <w:rPr>
                <w:rFonts w:hint="eastAsia" w:asciiTheme="minorEastAsia" w:hAnsiTheme="minorEastAsia" w:eastAsiaTheme="minorEastAsia"/>
                <w:b/>
                <w:kern w:val="0"/>
                <w:szCs w:val="21"/>
                <w:highlight w:val="yellow"/>
                <w:lang w:val="en-US" w:eastAsia="zh-CN"/>
              </w:rPr>
              <w:t>小时内消除故障，若在</w:t>
            </w:r>
            <w:r>
              <w:rPr>
                <w:rFonts w:hint="eastAsia" w:asciiTheme="minorEastAsia" w:hAnsiTheme="minorEastAsia" w:eastAsiaTheme="minorEastAsia"/>
                <w:b/>
                <w:kern w:val="0"/>
                <w:szCs w:val="21"/>
                <w:highlight w:val="yellow"/>
                <w:u w:val="single"/>
                <w:lang w:val="en-US" w:eastAsia="zh-CN"/>
              </w:rPr>
              <w:t xml:space="preserve"> 48 </w:t>
            </w:r>
            <w:r>
              <w:rPr>
                <w:rFonts w:hint="eastAsia" w:asciiTheme="minorEastAsia" w:hAnsiTheme="minorEastAsia" w:eastAsiaTheme="minorEastAsia"/>
                <w:b/>
                <w:kern w:val="0"/>
                <w:szCs w:val="21"/>
                <w:highlight w:val="yellow"/>
                <w:lang w:val="en-US" w:eastAsia="zh-CN"/>
              </w:rPr>
              <w:t>小时内不能及时排除故障的，中标人应在</w:t>
            </w:r>
            <w:r>
              <w:rPr>
                <w:rFonts w:hint="eastAsia" w:asciiTheme="minorEastAsia" w:hAnsiTheme="minorEastAsia" w:eastAsiaTheme="minorEastAsia"/>
                <w:b/>
                <w:kern w:val="0"/>
                <w:szCs w:val="21"/>
                <w:highlight w:val="yellow"/>
                <w:u w:val="single"/>
                <w:lang w:val="en-US" w:eastAsia="zh-CN"/>
              </w:rPr>
              <w:t xml:space="preserve"> 10</w:t>
            </w:r>
            <w:r>
              <w:rPr>
                <w:rFonts w:hint="eastAsia" w:asciiTheme="minorEastAsia" w:hAnsiTheme="minorEastAsia" w:eastAsiaTheme="minorEastAsia"/>
                <w:b/>
                <w:kern w:val="0"/>
                <w:szCs w:val="21"/>
                <w:highlight w:val="yellow"/>
                <w:lang w:val="en-US" w:eastAsia="zh-CN"/>
              </w:rPr>
              <w:t>个日历日内向采购人免费提供不低故障设备规格型号档次的备用设备使用，直至故障修复为止，由此产生的包括但不限于运输费、安装费、搬运费、替换产品的损耗费、零部件费、调试费等全部费用由中标人承担；维保期外，中标人负责免费维修及提供原装配件，采购人只支付更换零配件费。各设备配件成本费之和不得超过采购文件的设备单价。</w:t>
            </w:r>
          </w:p>
          <w:p w14:paraId="18BDD223">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5.维保期内，</w:t>
            </w:r>
            <w:r>
              <w:rPr>
                <w:rFonts w:hint="eastAsia" w:asciiTheme="minorEastAsia" w:hAnsiTheme="minorEastAsia" w:eastAsiaTheme="minorEastAsia"/>
                <w:b/>
                <w:kern w:val="0"/>
                <w:szCs w:val="21"/>
                <w:highlight w:val="yellow"/>
                <w:lang w:val="en-US" w:eastAsia="zh-CN"/>
              </w:rPr>
              <w:t>中标人</w:t>
            </w:r>
            <w:r>
              <w:rPr>
                <w:rFonts w:hint="eastAsia" w:asciiTheme="minorEastAsia" w:hAnsiTheme="minorEastAsia" w:eastAsiaTheme="minorEastAsia"/>
                <w:b/>
                <w:kern w:val="0"/>
                <w:szCs w:val="21"/>
                <w:highlight w:val="yellow"/>
              </w:rPr>
              <w:t>应确保设备年开机率在 98% 以上（含98），若达不到此开机率，将作以下处理：年开机率在 90%-98% 之间（含90），赔 壹 年延长维保期；年开机率在 85%-90% 之间（含85），赔 贰 年延长维保期；年开机率低于 85% ，</w:t>
            </w:r>
            <w:r>
              <w:rPr>
                <w:rFonts w:hint="eastAsia" w:asciiTheme="minorEastAsia" w:hAnsiTheme="minorEastAsia" w:eastAsiaTheme="minorEastAsia"/>
                <w:b/>
                <w:kern w:val="0"/>
                <w:szCs w:val="21"/>
                <w:highlight w:val="yellow"/>
                <w:lang w:val="en-US" w:eastAsia="zh-CN"/>
              </w:rPr>
              <w:t>中标人</w:t>
            </w:r>
            <w:r>
              <w:rPr>
                <w:rFonts w:hint="eastAsia" w:asciiTheme="minorEastAsia" w:hAnsiTheme="minorEastAsia" w:eastAsiaTheme="minorEastAsia"/>
                <w:b/>
                <w:kern w:val="0"/>
                <w:szCs w:val="21"/>
                <w:highlight w:val="yellow"/>
              </w:rPr>
              <w:t>必须无条件更换新设备，并重新计算新设备的维保期，以及赔偿甲方的直接经济损失和间接经济损失。【注：年开机率=（365-停机天数）/365】</w:t>
            </w:r>
          </w:p>
          <w:p w14:paraId="14A09DA7">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6.中标后中标人提供工程师电话和技术维修力量情况和维修的详细地址及联系方式。</w:t>
            </w:r>
          </w:p>
          <w:p w14:paraId="0BEDBCA9">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lang w:val="en-US" w:eastAsia="zh-CN"/>
              </w:rPr>
              <w:t>7.</w:t>
            </w:r>
            <w:r>
              <w:rPr>
                <w:rFonts w:hint="eastAsia" w:asciiTheme="minorEastAsia" w:hAnsiTheme="minorEastAsia" w:eastAsiaTheme="minorEastAsia"/>
                <w:b/>
                <w:kern w:val="0"/>
                <w:szCs w:val="21"/>
                <w:highlight w:val="yellow"/>
              </w:rPr>
              <w:t>中标人负责通知厂家免费安装、调试、免费提供技术咨询、软件升级及人员培训，以保证采购人工作人员掌握设备各种使用操作。</w:t>
            </w:r>
          </w:p>
          <w:p w14:paraId="6AC8B560">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8.保证设备维修和配件的供应。</w:t>
            </w:r>
          </w:p>
          <w:p w14:paraId="1A385375">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lang w:val="en-US" w:eastAsia="zh-CN"/>
              </w:rPr>
              <w:t>9.</w:t>
            </w:r>
            <w:r>
              <w:rPr>
                <w:rFonts w:hint="eastAsia" w:asciiTheme="minorEastAsia" w:hAnsiTheme="minorEastAsia" w:eastAsiaTheme="minorEastAsia"/>
                <w:b/>
                <w:kern w:val="0"/>
                <w:szCs w:val="21"/>
                <w:highlight w:val="yellow"/>
              </w:rPr>
              <w:t>场地迁移，需要移机时，中标人需免费迁移并提供技术支持，且确保机器的正常使用。</w:t>
            </w:r>
          </w:p>
        </w:tc>
      </w:tr>
      <w:tr w14:paraId="29C2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3284CBD2">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9</w:t>
            </w:r>
          </w:p>
        </w:tc>
        <w:tc>
          <w:tcPr>
            <w:tcW w:w="1620" w:type="dxa"/>
            <w:vAlign w:val="center"/>
          </w:tcPr>
          <w:p w14:paraId="32132541">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highlight w:val="yellow"/>
              </w:rPr>
              <w:t>★培训</w:t>
            </w:r>
          </w:p>
        </w:tc>
        <w:tc>
          <w:tcPr>
            <w:tcW w:w="5940" w:type="dxa"/>
            <w:vAlign w:val="top"/>
          </w:tcPr>
          <w:p w14:paraId="2768D60E">
            <w:pPr>
              <w:spacing w:line="360" w:lineRule="auto"/>
              <w:rPr>
                <w:rFonts w:hint="eastAsia" w:cs="Times New Roman" w:asciiTheme="minorEastAsia" w:hAnsiTheme="minorEastAsia" w:eastAsiaTheme="minorEastAsia"/>
                <w:b/>
                <w:kern w:val="0"/>
                <w:szCs w:val="21"/>
                <w:highlight w:val="yellow"/>
              </w:rPr>
            </w:pPr>
            <w:r>
              <w:rPr>
                <w:rFonts w:hint="eastAsia" w:cs="Times New Roman" w:asciiTheme="minorEastAsia" w:hAnsiTheme="minorEastAsia" w:eastAsiaTheme="minorEastAsia"/>
                <w:b/>
                <w:kern w:val="0"/>
                <w:szCs w:val="21"/>
                <w:highlight w:val="yellow"/>
              </w:rPr>
              <w:t>1.投标人应派专业技术人员免费对采购单位指定人员进行定期培训及指导，直至其完全掌握设备的基本故障处理技术。</w:t>
            </w:r>
          </w:p>
          <w:p w14:paraId="621191AB">
            <w:pPr>
              <w:spacing w:line="360" w:lineRule="auto"/>
              <w:rPr>
                <w:rFonts w:hint="eastAsia" w:cs="Times New Roman" w:asciiTheme="minorEastAsia" w:hAnsiTheme="minorEastAsia" w:eastAsiaTheme="minorEastAsia"/>
                <w:b/>
                <w:kern w:val="0"/>
                <w:szCs w:val="21"/>
                <w:highlight w:val="yellow"/>
              </w:rPr>
            </w:pPr>
            <w:r>
              <w:rPr>
                <w:rFonts w:hint="eastAsia" w:cs="Times New Roman" w:asciiTheme="minorEastAsia" w:hAnsiTheme="minorEastAsia" w:eastAsiaTheme="minorEastAsia"/>
                <w:b/>
                <w:kern w:val="0"/>
                <w:szCs w:val="21"/>
                <w:highlight w:val="yellow"/>
              </w:rPr>
              <w:t>2.现场培训：投标人应提供现场技术培训，保证使用人员正常操作设备的各种功能。</w:t>
            </w:r>
          </w:p>
          <w:p w14:paraId="7344460E">
            <w:pPr>
              <w:spacing w:line="360" w:lineRule="auto"/>
              <w:rPr>
                <w:rFonts w:hint="eastAsia" w:cs="Times New Roman" w:asciiTheme="minorEastAsia" w:hAnsiTheme="minorEastAsia" w:eastAsiaTheme="minorEastAsia"/>
                <w:b/>
                <w:kern w:val="0"/>
                <w:szCs w:val="21"/>
                <w:highlight w:val="yellow"/>
              </w:rPr>
            </w:pPr>
            <w:r>
              <w:rPr>
                <w:rFonts w:hint="eastAsia" w:cs="Times New Roman" w:asciiTheme="minorEastAsia" w:hAnsiTheme="minorEastAsia" w:eastAsiaTheme="minorEastAsia"/>
                <w:b/>
                <w:kern w:val="0"/>
                <w:szCs w:val="21"/>
                <w:highlight w:val="yellow"/>
              </w:rPr>
              <w:t>3.集中培训：根据设备技术要求，可向</w:t>
            </w:r>
            <w:r>
              <w:rPr>
                <w:rFonts w:hint="eastAsia" w:cs="Times New Roman" w:asciiTheme="minorEastAsia" w:hAnsiTheme="minorEastAsia" w:eastAsiaTheme="minorEastAsia"/>
                <w:b/>
                <w:kern w:val="0"/>
                <w:szCs w:val="21"/>
                <w:highlight w:val="yellow"/>
                <w:lang w:val="en-US" w:eastAsia="zh-CN"/>
              </w:rPr>
              <w:t>采购</w:t>
            </w:r>
            <w:r>
              <w:rPr>
                <w:rFonts w:hint="eastAsia" w:cs="Times New Roman" w:asciiTheme="minorEastAsia" w:hAnsiTheme="minorEastAsia" w:eastAsiaTheme="minorEastAsia"/>
                <w:b/>
                <w:kern w:val="0"/>
                <w:szCs w:val="21"/>
                <w:highlight w:val="yellow"/>
              </w:rPr>
              <w:t>人提供使用和维修技术人员培训。</w:t>
            </w:r>
          </w:p>
          <w:p w14:paraId="3FB43498">
            <w:pPr>
              <w:spacing w:line="360" w:lineRule="auto"/>
              <w:rPr>
                <w:rFonts w:asciiTheme="minorEastAsia" w:hAnsiTheme="minorEastAsia" w:eastAsiaTheme="minorEastAsia"/>
                <w:bCs/>
                <w:szCs w:val="21"/>
              </w:rPr>
            </w:pPr>
            <w:r>
              <w:rPr>
                <w:rFonts w:hint="eastAsia" w:cs="Times New Roman" w:asciiTheme="minorEastAsia" w:hAnsiTheme="minorEastAsia" w:eastAsiaTheme="minorEastAsia"/>
                <w:b/>
                <w:kern w:val="0"/>
                <w:szCs w:val="21"/>
                <w:highlight w:val="yellow"/>
              </w:rPr>
              <w:t>4.计算机辅助培训：针对该机型的多媒体互动操作教学软件，方便学习掌握基本操作和各项高级功能</w:t>
            </w:r>
          </w:p>
        </w:tc>
      </w:tr>
      <w:tr w14:paraId="0DF7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7AAFD573">
            <w:pPr>
              <w:spacing w:line="360" w:lineRule="auto"/>
              <w:jc w:val="center"/>
              <w:rPr>
                <w:rFonts w:hint="default" w:asciiTheme="minorEastAsia" w:hAnsiTheme="minorEastAsia" w:eastAsiaTheme="minorEastAsia"/>
                <w:b/>
                <w:szCs w:val="21"/>
                <w:lang w:val="en-US" w:eastAsia="zh-CN"/>
              </w:rPr>
            </w:pPr>
            <w:r>
              <w:rPr>
                <w:rFonts w:hint="eastAsia" w:asciiTheme="minorEastAsia" w:hAnsiTheme="minorEastAsia" w:eastAsiaTheme="minorEastAsia"/>
                <w:b/>
                <w:szCs w:val="21"/>
                <w:lang w:val="en-US" w:eastAsia="zh-CN"/>
              </w:rPr>
              <w:t>11</w:t>
            </w:r>
          </w:p>
        </w:tc>
        <w:tc>
          <w:tcPr>
            <w:tcW w:w="1620" w:type="dxa"/>
            <w:vAlign w:val="center"/>
          </w:tcPr>
          <w:p w14:paraId="36B8C19E">
            <w:pPr>
              <w:widowControl/>
              <w:spacing w:line="360" w:lineRule="exact"/>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★其他要求</w:t>
            </w:r>
          </w:p>
        </w:tc>
        <w:tc>
          <w:tcPr>
            <w:tcW w:w="5940" w:type="dxa"/>
            <w:vAlign w:val="top"/>
          </w:tcPr>
          <w:p w14:paraId="1709A862">
            <w:pPr>
              <w:numPr>
                <w:ilvl w:val="0"/>
                <w:numId w:val="21"/>
              </w:num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本项目中如有涉及水、电、气设备安装及调试、室外高空作业等项目的中标人承诺使用具有国家认可资质的操作人员（资质证书仍在有效期内）实施，否则由此造成的后果由中标人负责。</w:t>
            </w:r>
          </w:p>
          <w:p w14:paraId="648E9A7B">
            <w:pPr>
              <w:numPr>
                <w:ilvl w:val="0"/>
                <w:numId w:val="0"/>
              </w:num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2、如所投产品受行业主管部门规定强制认证或检测或许可的（如3C认证或检测报告或工信部进网许可证等），中标人在签订合同前向采购单位提供相关认证证书或检测报告。</w:t>
            </w:r>
          </w:p>
          <w:p w14:paraId="35CCE1E5">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3、本项目所要求的硬件、软件，中标人要配备给采购人，并保证采购人能正常使用，不需要另外增加其他附件和其他费用。</w:t>
            </w:r>
          </w:p>
          <w:p w14:paraId="7FFFF1A2">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4、中标人免费负责对接医院相关系统等，实现数据实时自动本地备份，保证数据安全和共享，无需另外购置即可满足临床需求。</w:t>
            </w:r>
          </w:p>
          <w:p w14:paraId="368BE36E">
            <w:pPr>
              <w:spacing w:line="360" w:lineRule="auto"/>
              <w:rPr>
                <w:rFonts w:hint="eastAsia" w:asciiTheme="minorEastAsia" w:hAnsiTheme="minorEastAsia" w:eastAsiaTheme="minorEastAsia"/>
                <w:b/>
                <w:kern w:val="0"/>
                <w:szCs w:val="21"/>
                <w:highlight w:val="yellow"/>
              </w:rPr>
            </w:pPr>
            <w:r>
              <w:rPr>
                <w:rFonts w:hint="eastAsia" w:asciiTheme="minorEastAsia" w:hAnsiTheme="minorEastAsia" w:eastAsiaTheme="minorEastAsia"/>
                <w:b/>
                <w:kern w:val="0"/>
                <w:szCs w:val="21"/>
                <w:highlight w:val="yellow"/>
              </w:rPr>
              <w:t>5、包装方式按照原厂出厂原标准，中标人承担由于其包装或其防护措施不妥而引起货物锈蚀、损坏和丢失等任何损失，并承担因此而发生的违约责任。</w:t>
            </w:r>
          </w:p>
          <w:p w14:paraId="0D85E57A">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6、投标人应按其投标文件中的承诺，进行其他售后服务工作。每年维保服务期结束后，厂家或其指定维保服务商应向采购人提交年度服务总结报告，报告内容包括但不限于维修情况、PM情况、设备运行情况分析、维保成本分析、设备存在问题及建议等。</w:t>
            </w:r>
          </w:p>
        </w:tc>
      </w:tr>
      <w:tr w14:paraId="75DE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5A626642">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b/>
                <w:szCs w:val="21"/>
                <w:lang w:val="en-US" w:eastAsia="zh-CN"/>
              </w:rPr>
              <w:t>12</w:t>
            </w:r>
          </w:p>
        </w:tc>
        <w:tc>
          <w:tcPr>
            <w:tcW w:w="1620" w:type="dxa"/>
            <w:vAlign w:val="center"/>
          </w:tcPr>
          <w:p w14:paraId="23885F49">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w:t>
            </w:r>
            <w:r>
              <w:rPr>
                <w:rFonts w:hint="eastAsia" w:asciiTheme="minorEastAsia" w:hAnsiTheme="minorEastAsia" w:eastAsiaTheme="minorEastAsia"/>
                <w:b/>
                <w:kern w:val="0"/>
                <w:szCs w:val="21"/>
                <w:highlight w:val="yellow"/>
                <w:lang w:val="en-US" w:eastAsia="zh-CN"/>
              </w:rPr>
              <w:t>违约责任</w:t>
            </w:r>
          </w:p>
        </w:tc>
        <w:tc>
          <w:tcPr>
            <w:tcW w:w="5940" w:type="dxa"/>
            <w:vAlign w:val="top"/>
          </w:tcPr>
          <w:p w14:paraId="01624E5F">
            <w:pPr>
              <w:spacing w:line="360" w:lineRule="auto"/>
              <w:rPr>
                <w:rFonts w:asciiTheme="minorEastAsia" w:hAnsiTheme="minorEastAsia" w:eastAsiaTheme="minorEastAsia"/>
                <w:b/>
                <w:szCs w:val="21"/>
              </w:rPr>
            </w:pPr>
            <w:r>
              <w:rPr>
                <w:rFonts w:hint="eastAsia" w:asciiTheme="minorEastAsia" w:hAnsiTheme="minorEastAsia" w:eastAsiaTheme="minorEastAsia"/>
                <w:b/>
                <w:kern w:val="0"/>
                <w:szCs w:val="21"/>
                <w:highlight w:val="yellow"/>
              </w:rPr>
              <w:t>1、未按照约定时间交付货物的，每逾期一天，采购人有权要求中标人延长两天的维保服务期限；逾期超过90日历日的，采购人有权单方解除合同并要求中标人承担合同总金额20%的违约金。如违约金不足以赔偿因交货延迟给甲方造成的损失，</w:t>
            </w:r>
            <w:r>
              <w:rPr>
                <w:rFonts w:hint="eastAsia" w:asciiTheme="minorEastAsia" w:hAnsiTheme="minorEastAsia" w:eastAsiaTheme="minorEastAsia"/>
                <w:b/>
                <w:kern w:val="0"/>
                <w:szCs w:val="21"/>
                <w:highlight w:val="yellow"/>
                <w:lang w:val="en-US" w:eastAsia="zh-CN"/>
              </w:rPr>
              <w:t>中标人</w:t>
            </w:r>
            <w:r>
              <w:rPr>
                <w:rFonts w:hint="eastAsia" w:asciiTheme="minorEastAsia" w:hAnsiTheme="minorEastAsia" w:eastAsiaTheme="minorEastAsia"/>
                <w:b/>
                <w:kern w:val="0"/>
                <w:szCs w:val="21"/>
                <w:highlight w:val="yellow"/>
              </w:rPr>
              <w:t>还应继续承担相应的赔偿责任。</w:t>
            </w:r>
          </w:p>
        </w:tc>
      </w:tr>
    </w:tbl>
    <w:p w14:paraId="786C6DD4">
      <w:pPr>
        <w:widowControl/>
        <w:jc w:val="left"/>
      </w:pPr>
    </w:p>
    <w:p w14:paraId="08F94F37">
      <w:r>
        <w:br w:type="page"/>
      </w:r>
    </w:p>
    <w:p w14:paraId="60EF30AA">
      <w:pPr>
        <w:pStyle w:val="4"/>
      </w:pPr>
    </w:p>
    <w:p w14:paraId="1FB01B7F">
      <w:pPr>
        <w:pStyle w:val="2"/>
      </w:pPr>
      <w:bookmarkStart w:id="3" w:name="_Toc135293322"/>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71E1E89A"/>
    <w:p w14:paraId="4BE47D73"/>
    <w:p w14:paraId="0C7AE374">
      <w:pPr>
        <w:pStyle w:val="4"/>
      </w:pP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1393"/>
      <w:bookmarkStart w:id="6" w:name="_Toc44690702"/>
      <w:bookmarkStart w:id="7" w:name="_Toc135293324"/>
      <w:bookmarkStart w:id="8" w:name="_Toc44691161"/>
      <w:bookmarkStart w:id="9" w:name="_Toc44690429"/>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45</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82"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2CAD9D31">
            <w:pPr>
              <w:widowControl/>
              <w:spacing w:line="360" w:lineRule="exact"/>
              <w:jc w:val="center"/>
              <w:rPr>
                <w:rFonts w:ascii="宋体" w:hAnsi="宋体" w:cs="仿宋"/>
                <w:kern w:val="0"/>
                <w:szCs w:val="21"/>
              </w:rPr>
            </w:pPr>
            <w:r>
              <w:rPr>
                <w:rFonts w:hint="eastAsia" w:ascii="宋体" w:hAnsi="宋体" w:cs="仿宋"/>
                <w:kern w:val="0"/>
                <w:szCs w:val="21"/>
              </w:rPr>
              <w:t>技术规格▲参数响应情况评价</w:t>
            </w:r>
          </w:p>
        </w:tc>
        <w:tc>
          <w:tcPr>
            <w:tcW w:w="709" w:type="dxa"/>
            <w:vAlign w:val="center"/>
          </w:tcPr>
          <w:p w14:paraId="7C05B46F">
            <w:pPr>
              <w:widowControl/>
              <w:spacing w:line="360" w:lineRule="exac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10</w:t>
            </w:r>
          </w:p>
        </w:tc>
        <w:tc>
          <w:tcPr>
            <w:tcW w:w="5953" w:type="dxa"/>
            <w:vAlign w:val="center"/>
          </w:tcPr>
          <w:p w14:paraId="201BE4C8">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（一）评分内容：</w:t>
            </w:r>
          </w:p>
          <w:p w14:paraId="64DA4A29">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以投标文件《技术规格偏离表》为评审依据，各项▲参数指标及要求全部满足的得10分，每有1项▲参数负偏离的扣</w:t>
            </w:r>
            <w:r>
              <w:rPr>
                <w:rFonts w:hint="eastAsia" w:asciiTheme="minorEastAsia" w:hAnsiTheme="minorEastAsia" w:eastAsiaTheme="minorEastAsia"/>
                <w:szCs w:val="21"/>
                <w:lang w:val="en-US" w:eastAsia="zh-CN"/>
              </w:rPr>
              <w:t>2.5</w:t>
            </w:r>
            <w:r>
              <w:rPr>
                <w:rFonts w:asciiTheme="minorEastAsia" w:hAnsiTheme="minorEastAsia" w:eastAsiaTheme="minorEastAsia"/>
                <w:szCs w:val="21"/>
              </w:rPr>
              <w:t>分，最低</w:t>
            </w:r>
            <w:r>
              <w:rPr>
                <w:rFonts w:hint="eastAsia" w:asciiTheme="minorEastAsia" w:hAnsiTheme="minorEastAsia" w:eastAsiaTheme="minorEastAsia"/>
                <w:szCs w:val="21"/>
                <w:lang w:val="en-US" w:eastAsia="zh-CN"/>
              </w:rPr>
              <w:t>得</w:t>
            </w:r>
            <w:r>
              <w:rPr>
                <w:rFonts w:asciiTheme="minorEastAsia" w:hAnsiTheme="minorEastAsia" w:eastAsiaTheme="minorEastAsia"/>
                <w:szCs w:val="21"/>
              </w:rPr>
              <w:t>0分。</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r>
              <w:rPr>
                <w:rFonts w:asciiTheme="minorEastAsia" w:hAnsiTheme="minorEastAsia" w:eastAsiaTheme="minorEastAsia"/>
                <w:szCs w:val="21"/>
              </w:rPr>
              <w:t xml:space="preserve"> </w:t>
            </w:r>
          </w:p>
          <w:p w14:paraId="67594A6C">
            <w:pPr>
              <w:spacing w:line="360" w:lineRule="exact"/>
              <w:rPr>
                <w:rFonts w:asciiTheme="minorEastAsia" w:hAnsiTheme="minorEastAsia" w:eastAsiaTheme="minorEastAsia"/>
                <w:szCs w:val="21"/>
              </w:rPr>
            </w:pPr>
            <w:r>
              <w:rPr>
                <w:rFonts w:asciiTheme="minorEastAsia" w:hAnsiTheme="minorEastAsia" w:eastAsiaTheme="minorEastAsia"/>
                <w:szCs w:val="21"/>
              </w:rPr>
              <w:t>（二）评分</w:t>
            </w:r>
            <w:r>
              <w:rPr>
                <w:rFonts w:hint="eastAsia" w:asciiTheme="minorEastAsia" w:hAnsiTheme="minorEastAsia" w:eastAsiaTheme="minorEastAsia"/>
                <w:szCs w:val="21"/>
              </w:rPr>
              <w:t>依据</w:t>
            </w:r>
            <w:r>
              <w:rPr>
                <w:rFonts w:asciiTheme="minorEastAsia" w:hAnsiTheme="minorEastAsia" w:eastAsiaTheme="minorEastAsia"/>
                <w:szCs w:val="21"/>
              </w:rPr>
              <w:t>：</w:t>
            </w:r>
          </w:p>
          <w:p w14:paraId="67DA2F77">
            <w:pPr>
              <w:spacing w:line="360" w:lineRule="exact"/>
              <w:rPr>
                <w:rFonts w:ascii="宋体" w:hAnsi="宋体" w:cs="仿宋"/>
                <w:szCs w:val="21"/>
                <w:lang w:val="zh-CN"/>
              </w:rPr>
            </w:pPr>
            <w:r>
              <w:rPr>
                <w:rFonts w:asciiTheme="minorEastAsia" w:hAnsiTheme="minorEastAsia" w:eastAsiaTheme="minorEastAsia"/>
                <w:szCs w:val="21"/>
              </w:rPr>
              <w:t>投标人应如实填写《技术规格偏离表》，按招标文件要求提供相应的证明材料扫描件（原件备查），并注明证明材料在投标文件中的具体位置。证明材料与偏离表填写内容不一致，未提供有效证明材料或未注明证明材料在投标文件中的具体位置或提供的证明材料不完整或不清晰的，该项技术指标按负偏离处理。</w:t>
            </w:r>
          </w:p>
          <w:p w14:paraId="71E5B331">
            <w:pPr>
              <w:spacing w:line="360" w:lineRule="exact"/>
              <w:rPr>
                <w:rFonts w:asciiTheme="minorEastAsia" w:hAnsiTheme="minorEastAsia" w:eastAsiaTheme="minorEastAsia"/>
                <w:szCs w:val="21"/>
              </w:rPr>
            </w:pPr>
            <w:r>
              <w:rPr>
                <w:rFonts w:hint="eastAsia" w:ascii="宋体" w:hAnsi="宋体" w:cs="仿宋"/>
                <w:szCs w:val="21"/>
              </w:rPr>
              <w:t>证明材料涉及检测（或检验）报告的，如检测机构出具的检测（或检验）报告载明的检测事项超出该机构的检测范围，则</w:t>
            </w:r>
            <w:r>
              <w:rPr>
                <w:rFonts w:ascii="宋体" w:hAnsi="宋体" w:cs="仿宋"/>
                <w:szCs w:val="21"/>
              </w:rPr>
              <w:t>该项技术指标按负偏离处理</w:t>
            </w:r>
            <w:r>
              <w:rPr>
                <w:rFonts w:hint="eastAsia" w:asciiTheme="minorEastAsia" w:hAnsiTheme="minorEastAsia" w:eastAsiaTheme="minorEastAsia"/>
                <w:szCs w:val="21"/>
              </w:rPr>
              <w:t>。</w:t>
            </w:r>
          </w:p>
          <w:p w14:paraId="593C909F">
            <w:pPr>
              <w:spacing w:line="360" w:lineRule="exact"/>
              <w:jc w:val="left"/>
              <w:rPr>
                <w:rFonts w:asciiTheme="minorEastAsia" w:hAnsiTheme="minorEastAsia" w:eastAsiaTheme="minorEastAsia" w:cstheme="minorBidi"/>
                <w:b/>
                <w:szCs w:val="21"/>
              </w:rPr>
            </w:pPr>
            <w:r>
              <w:rPr>
                <w:rFonts w:hint="eastAsia" w:asciiTheme="minorEastAsia" w:hAnsiTheme="minorEastAsia" w:eastAsiaTheme="minorEastAsia"/>
                <w:b/>
                <w:szCs w:val="21"/>
              </w:rPr>
              <w:t>特别提醒：投标人的技术参数响应情况、偏离情况等必须与客观实际保持一致，响应不实且情节严重的，经查实，将依法记入供应商诚信档案或受到行政处罚。</w:t>
            </w: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AC7B54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521CD5CF">
            <w:pPr>
              <w:spacing w:line="360" w:lineRule="exact"/>
              <w:jc w:val="center"/>
              <w:rPr>
                <w:rFonts w:ascii="宋体" w:hAnsi="宋体" w:cs="仿宋"/>
                <w:szCs w:val="21"/>
              </w:rPr>
            </w:pPr>
            <w:r>
              <w:rPr>
                <w:rFonts w:hint="eastAsia"/>
                <w:lang w:val="en-US" w:eastAsia="zh-CN"/>
              </w:rPr>
              <w:t>技术规格</w:t>
            </w:r>
            <w:r>
              <w:rPr>
                <w:rFonts w:hint="eastAsia"/>
                <w:szCs w:val="21"/>
                <w:lang w:val="en-US" w:eastAsia="zh-CN"/>
              </w:rPr>
              <w:t>一般技术参数（非</w:t>
            </w:r>
            <w:r>
              <w:rPr>
                <w:rFonts w:hint="eastAsia" w:eastAsia="宋体"/>
                <w:szCs w:val="21"/>
              </w:rPr>
              <w:t>▲参数</w:t>
            </w:r>
            <w:r>
              <w:rPr>
                <w:rFonts w:hint="eastAsia"/>
                <w:szCs w:val="21"/>
                <w:lang w:eastAsia="zh-CN"/>
              </w:rPr>
              <w:t>）</w:t>
            </w:r>
            <w:r>
              <w:rPr>
                <w:rFonts w:hint="eastAsia" w:eastAsia="宋体"/>
                <w:szCs w:val="21"/>
              </w:rPr>
              <w:t>响应情况评价</w:t>
            </w:r>
          </w:p>
        </w:tc>
        <w:tc>
          <w:tcPr>
            <w:tcW w:w="709" w:type="dxa"/>
            <w:vAlign w:val="center"/>
          </w:tcPr>
          <w:p w14:paraId="4ED36909">
            <w:pPr>
              <w:spacing w:line="360" w:lineRule="exact"/>
              <w:jc w:val="center"/>
              <w:rPr>
                <w:rFonts w:ascii="宋体" w:hAnsi="宋体" w:cs="仿宋"/>
                <w:szCs w:val="21"/>
              </w:rPr>
            </w:pPr>
            <w:r>
              <w:rPr>
                <w:rFonts w:hint="eastAsia" w:ascii="宋体" w:hAnsi="宋体" w:cs="仿宋"/>
                <w:szCs w:val="21"/>
              </w:rPr>
              <w:t>8</w:t>
            </w:r>
          </w:p>
        </w:tc>
        <w:tc>
          <w:tcPr>
            <w:tcW w:w="5953" w:type="dxa"/>
            <w:vAlign w:val="center"/>
          </w:tcPr>
          <w:p w14:paraId="59D9A1E5">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（一）评分内容：</w:t>
            </w:r>
          </w:p>
          <w:p w14:paraId="3933CCD7">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以投标文件《技术规格偏离表》为评审依据，各项</w:t>
            </w:r>
            <w:r>
              <w:rPr>
                <w:rFonts w:hint="eastAsia" w:asciiTheme="minorEastAsia" w:hAnsiTheme="minorEastAsia" w:eastAsiaTheme="minorEastAsia"/>
                <w:szCs w:val="21"/>
                <w:lang w:val="en-US" w:eastAsia="zh-CN"/>
              </w:rPr>
              <w:t>一般技术参数</w:t>
            </w:r>
            <w:r>
              <w:rPr>
                <w:rFonts w:asciiTheme="minorEastAsia" w:hAnsiTheme="minorEastAsia" w:eastAsiaTheme="minorEastAsia"/>
                <w:szCs w:val="21"/>
              </w:rPr>
              <w:t>指标及要求</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非</w:t>
            </w:r>
            <w:r>
              <w:rPr>
                <w:rFonts w:asciiTheme="minorEastAsia" w:hAnsiTheme="minorEastAsia" w:eastAsiaTheme="minorEastAsia"/>
                <w:szCs w:val="21"/>
              </w:rPr>
              <w:t>▲参数</w:t>
            </w:r>
            <w:r>
              <w:rPr>
                <w:rFonts w:hint="eastAsia" w:asciiTheme="minorEastAsia" w:hAnsiTheme="minorEastAsia" w:eastAsiaTheme="minorEastAsia"/>
                <w:szCs w:val="21"/>
                <w:lang w:eastAsia="zh-CN"/>
              </w:rPr>
              <w:t>）</w:t>
            </w:r>
            <w:r>
              <w:rPr>
                <w:rFonts w:asciiTheme="minorEastAsia" w:hAnsiTheme="minorEastAsia" w:eastAsiaTheme="minorEastAsia"/>
                <w:szCs w:val="21"/>
              </w:rPr>
              <w:t>全部满足的得</w:t>
            </w:r>
            <w:r>
              <w:rPr>
                <w:rFonts w:hint="eastAsia" w:asciiTheme="minorEastAsia" w:hAnsiTheme="minorEastAsia" w:eastAsiaTheme="minorEastAsia"/>
                <w:szCs w:val="21"/>
                <w:lang w:val="en-US" w:eastAsia="zh-CN"/>
              </w:rPr>
              <w:t>8</w:t>
            </w:r>
            <w:r>
              <w:rPr>
                <w:rFonts w:asciiTheme="minorEastAsia" w:hAnsiTheme="minorEastAsia" w:eastAsiaTheme="minorEastAsia"/>
                <w:szCs w:val="21"/>
              </w:rPr>
              <w:t>分，每有1项参数负偏离的扣</w:t>
            </w:r>
            <w:r>
              <w:rPr>
                <w:rFonts w:hint="eastAsia" w:asciiTheme="minorEastAsia" w:hAnsiTheme="minorEastAsia" w:eastAsiaTheme="minorEastAsia"/>
                <w:szCs w:val="21"/>
                <w:lang w:val="en-US" w:eastAsia="zh-CN"/>
              </w:rPr>
              <w:t>0.1</w:t>
            </w:r>
            <w:r>
              <w:rPr>
                <w:rFonts w:asciiTheme="minorEastAsia" w:hAnsiTheme="minorEastAsia" w:eastAsiaTheme="minorEastAsia"/>
                <w:szCs w:val="21"/>
              </w:rPr>
              <w:t>分，最低</w:t>
            </w:r>
            <w:r>
              <w:rPr>
                <w:rFonts w:hint="eastAsia" w:asciiTheme="minorEastAsia" w:hAnsiTheme="minorEastAsia" w:eastAsiaTheme="minorEastAsia"/>
                <w:szCs w:val="21"/>
                <w:lang w:val="en-US" w:eastAsia="zh-CN"/>
              </w:rPr>
              <w:t>得</w:t>
            </w:r>
            <w:r>
              <w:rPr>
                <w:rFonts w:asciiTheme="minorEastAsia" w:hAnsiTheme="minorEastAsia" w:eastAsiaTheme="minorEastAsia"/>
                <w:szCs w:val="21"/>
              </w:rPr>
              <w:t>0分。</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r>
              <w:rPr>
                <w:rFonts w:asciiTheme="minorEastAsia" w:hAnsiTheme="minorEastAsia" w:eastAsiaTheme="minorEastAsia"/>
                <w:szCs w:val="21"/>
              </w:rPr>
              <w:t xml:space="preserve"> </w:t>
            </w:r>
          </w:p>
          <w:p w14:paraId="434C7E04">
            <w:pPr>
              <w:spacing w:line="360" w:lineRule="exact"/>
              <w:rPr>
                <w:rFonts w:asciiTheme="minorEastAsia" w:hAnsiTheme="minorEastAsia" w:eastAsiaTheme="minorEastAsia"/>
                <w:szCs w:val="21"/>
              </w:rPr>
            </w:pPr>
            <w:r>
              <w:rPr>
                <w:rFonts w:asciiTheme="minorEastAsia" w:hAnsiTheme="minorEastAsia" w:eastAsiaTheme="minorEastAsia"/>
                <w:szCs w:val="21"/>
              </w:rPr>
              <w:t>（二）评分</w:t>
            </w:r>
            <w:r>
              <w:rPr>
                <w:rFonts w:hint="eastAsia" w:asciiTheme="minorEastAsia" w:hAnsiTheme="minorEastAsia" w:eastAsiaTheme="minorEastAsia"/>
                <w:szCs w:val="21"/>
              </w:rPr>
              <w:t>依据</w:t>
            </w:r>
            <w:r>
              <w:rPr>
                <w:rFonts w:asciiTheme="minorEastAsia" w:hAnsiTheme="minorEastAsia" w:eastAsiaTheme="minorEastAsia"/>
                <w:szCs w:val="21"/>
              </w:rPr>
              <w:t>：</w:t>
            </w:r>
          </w:p>
          <w:p w14:paraId="47FCCD31">
            <w:pPr>
              <w:spacing w:line="360" w:lineRule="exact"/>
              <w:rPr>
                <w:rFonts w:asciiTheme="minorEastAsia" w:hAnsiTheme="minorEastAsia" w:eastAsiaTheme="minorEastAsia"/>
                <w:szCs w:val="21"/>
              </w:rPr>
            </w:pPr>
            <w:r>
              <w:rPr>
                <w:rFonts w:asciiTheme="minorEastAsia" w:hAnsiTheme="minorEastAsia" w:eastAsiaTheme="minorEastAsia"/>
                <w:szCs w:val="21"/>
              </w:rPr>
              <w:t>投标人应如实填写《技术规格偏离表》</w:t>
            </w:r>
            <w:r>
              <w:rPr>
                <w:rFonts w:hint="eastAsia" w:asciiTheme="minorEastAsia" w:hAnsiTheme="minorEastAsia" w:eastAsiaTheme="minorEastAsia"/>
                <w:szCs w:val="21"/>
              </w:rPr>
              <w:t>。</w:t>
            </w:r>
          </w:p>
          <w:p w14:paraId="79BF599E">
            <w:pPr>
              <w:spacing w:line="360" w:lineRule="exact"/>
              <w:jc w:val="left"/>
              <w:rPr>
                <w:rFonts w:ascii="宋体" w:hAnsi="宋体" w:cs="仿宋"/>
                <w:szCs w:val="21"/>
              </w:rPr>
            </w:pPr>
            <w:r>
              <w:rPr>
                <w:rFonts w:hint="eastAsia" w:asciiTheme="minorEastAsia" w:hAnsiTheme="minorEastAsia" w:eastAsiaTheme="minorEastAsia"/>
                <w:b/>
                <w:szCs w:val="21"/>
              </w:rPr>
              <w:t>特别提醒：投标人的技术参数响应情况、偏离情况等必须与客观实际保持一致，响应不实且情节严重的，经查实，将依法记入供应商诚信档案或受到行政处罚。</w:t>
            </w:r>
          </w:p>
        </w:tc>
        <w:tc>
          <w:tcPr>
            <w:tcW w:w="1187" w:type="dxa"/>
            <w:vAlign w:val="center"/>
          </w:tcPr>
          <w:p w14:paraId="4CBE210C">
            <w:pPr>
              <w:spacing w:line="360" w:lineRule="exact"/>
              <w:jc w:val="center"/>
              <w:rPr>
                <w:rFonts w:ascii="宋体" w:hAnsi="宋体" w:cs="仿宋"/>
                <w:szCs w:val="21"/>
                <w:lang w:val="zh-CN"/>
              </w:rPr>
            </w:pPr>
            <w:r>
              <w:rPr>
                <w:rFonts w:hint="eastAsia" w:ascii="宋体" w:hAnsi="宋体" w:cs="仿宋"/>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91" w:hRule="atLeast"/>
          <w:jc w:val="center"/>
        </w:trPr>
        <w:tc>
          <w:tcPr>
            <w:tcW w:w="754" w:type="dxa"/>
            <w:vAlign w:val="center"/>
          </w:tcPr>
          <w:p w14:paraId="0A91A8AA">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143" w:type="dxa"/>
            <w:vAlign w:val="center"/>
          </w:tcPr>
          <w:p w14:paraId="3729F656">
            <w:pPr>
              <w:widowControl/>
              <w:spacing w:line="360" w:lineRule="exact"/>
              <w:jc w:val="center"/>
              <w:rPr>
                <w:rFonts w:ascii="宋体" w:hAnsi="宋体" w:cs="宋体"/>
                <w:szCs w:val="21"/>
              </w:rPr>
            </w:pPr>
            <w:r>
              <w:rPr>
                <w:rFonts w:hint="eastAsia" w:ascii="宋体" w:hAnsi="宋体" w:eastAsia="宋体" w:cs="宋体"/>
                <w:color w:val="000000"/>
                <w:kern w:val="0"/>
                <w:szCs w:val="21"/>
              </w:rPr>
              <w:t>实施方案</w:t>
            </w:r>
          </w:p>
        </w:tc>
        <w:tc>
          <w:tcPr>
            <w:tcW w:w="709" w:type="dxa"/>
            <w:vAlign w:val="center"/>
          </w:tcPr>
          <w:p w14:paraId="017C8D52">
            <w:pPr>
              <w:widowControl/>
              <w:spacing w:line="3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18</w:t>
            </w:r>
          </w:p>
        </w:tc>
        <w:tc>
          <w:tcPr>
            <w:tcW w:w="5953" w:type="dxa"/>
            <w:vAlign w:val="center"/>
          </w:tcPr>
          <w:p w14:paraId="455BF367">
            <w:pPr>
              <w:spacing w:line="360" w:lineRule="exact"/>
              <w:rPr>
                <w:rFonts w:hint="eastAsia" w:ascii="宋体" w:eastAsia="宋体"/>
                <w:kern w:val="0"/>
                <w:szCs w:val="21"/>
                <w:lang w:val="zh-CN"/>
              </w:rPr>
            </w:pPr>
            <w:r>
              <w:rPr>
                <w:rFonts w:hint="eastAsia" w:ascii="宋体" w:eastAsia="宋体"/>
                <w:kern w:val="0"/>
                <w:szCs w:val="21"/>
                <w:lang w:val="zh-CN"/>
              </w:rPr>
              <w:t>（一）评分内容：</w:t>
            </w:r>
          </w:p>
          <w:p w14:paraId="26D95F18">
            <w:pPr>
              <w:spacing w:line="360" w:lineRule="exact"/>
              <w:rPr>
                <w:rFonts w:hint="eastAsia" w:ascii="宋体" w:eastAsia="宋体"/>
                <w:kern w:val="0"/>
                <w:szCs w:val="21"/>
                <w:lang w:val="zh-CN"/>
              </w:rPr>
            </w:pPr>
            <w:r>
              <w:rPr>
                <w:rFonts w:hint="eastAsia" w:ascii="宋体" w:eastAsia="宋体"/>
                <w:kern w:val="0"/>
                <w:szCs w:val="21"/>
                <w:lang w:val="zh-CN"/>
              </w:rPr>
              <w:t>投标人在投标文件中详细说明用于本项目的实施方案，包含以下内容：</w:t>
            </w:r>
          </w:p>
          <w:p w14:paraId="3B7E5319">
            <w:pPr>
              <w:spacing w:line="360" w:lineRule="exact"/>
              <w:rPr>
                <w:rFonts w:hint="eastAsia" w:ascii="宋体" w:eastAsia="宋体"/>
                <w:kern w:val="0"/>
                <w:szCs w:val="21"/>
                <w:lang w:val="zh-CN" w:eastAsia="zh-CN"/>
              </w:rPr>
            </w:pPr>
            <w:r>
              <w:rPr>
                <w:rFonts w:hint="eastAsia" w:ascii="宋体" w:eastAsia="宋体"/>
                <w:kern w:val="0"/>
                <w:szCs w:val="21"/>
                <w:lang w:val="zh-CN"/>
              </w:rPr>
              <w:t>（1）项目实施进度表</w:t>
            </w:r>
            <w:r>
              <w:rPr>
                <w:rFonts w:hint="eastAsia" w:ascii="宋体" w:eastAsia="宋体"/>
                <w:kern w:val="0"/>
                <w:szCs w:val="21"/>
                <w:lang w:val="zh-CN" w:eastAsia="zh-CN"/>
              </w:rPr>
              <w:t>；</w:t>
            </w:r>
          </w:p>
          <w:p w14:paraId="66B96C2E">
            <w:pPr>
              <w:spacing w:line="360" w:lineRule="exact"/>
              <w:rPr>
                <w:rFonts w:hint="eastAsia" w:ascii="宋体" w:eastAsia="宋体"/>
                <w:kern w:val="0"/>
                <w:szCs w:val="21"/>
                <w:lang w:val="zh-CN" w:eastAsia="zh-CN"/>
              </w:rPr>
            </w:pPr>
            <w:r>
              <w:rPr>
                <w:rFonts w:hint="eastAsia" w:ascii="宋体" w:eastAsia="宋体"/>
                <w:kern w:val="0"/>
                <w:szCs w:val="21"/>
                <w:lang w:val="zh-CN"/>
              </w:rPr>
              <w:t>（2）</w:t>
            </w:r>
            <w:r>
              <w:rPr>
                <w:rFonts w:hint="eastAsia" w:ascii="宋体"/>
                <w:kern w:val="0"/>
                <w:szCs w:val="21"/>
                <w:lang w:val="en-US" w:eastAsia="zh-CN"/>
              </w:rPr>
              <w:t>技术保障</w:t>
            </w:r>
            <w:r>
              <w:rPr>
                <w:rFonts w:hint="eastAsia" w:ascii="宋体" w:eastAsia="宋体"/>
                <w:kern w:val="0"/>
                <w:szCs w:val="21"/>
                <w:lang w:val="zh-CN"/>
              </w:rPr>
              <w:t>措施方案</w:t>
            </w:r>
            <w:r>
              <w:rPr>
                <w:rFonts w:hint="eastAsia" w:ascii="宋体" w:eastAsia="宋体"/>
                <w:kern w:val="0"/>
                <w:szCs w:val="21"/>
                <w:lang w:val="zh-CN" w:eastAsia="zh-CN"/>
              </w:rPr>
              <w:t>；</w:t>
            </w:r>
          </w:p>
          <w:p w14:paraId="1E172F5D">
            <w:pPr>
              <w:spacing w:line="360" w:lineRule="exact"/>
              <w:rPr>
                <w:rFonts w:hint="eastAsia" w:ascii="宋体" w:eastAsia="宋体"/>
                <w:kern w:val="0"/>
                <w:szCs w:val="21"/>
                <w:lang w:val="zh-CN" w:eastAsia="zh-CN"/>
              </w:rPr>
            </w:pPr>
            <w:r>
              <w:rPr>
                <w:rFonts w:hint="eastAsia" w:ascii="宋体" w:eastAsia="宋体"/>
                <w:kern w:val="0"/>
                <w:szCs w:val="21"/>
                <w:lang w:val="zh-CN"/>
              </w:rPr>
              <w:t>（3）质量保证措施方案</w:t>
            </w:r>
            <w:r>
              <w:rPr>
                <w:rFonts w:hint="eastAsia" w:ascii="宋体" w:eastAsia="宋体"/>
                <w:kern w:val="0"/>
                <w:szCs w:val="21"/>
                <w:lang w:val="zh-CN" w:eastAsia="zh-CN"/>
              </w:rPr>
              <w:t>；</w:t>
            </w:r>
          </w:p>
          <w:p w14:paraId="0340668D">
            <w:pPr>
              <w:spacing w:line="360" w:lineRule="exact"/>
              <w:rPr>
                <w:rFonts w:hint="eastAsia" w:ascii="宋体" w:eastAsia="宋体"/>
                <w:kern w:val="0"/>
                <w:szCs w:val="21"/>
                <w:lang w:val="zh-CN"/>
              </w:rPr>
            </w:pPr>
            <w:r>
              <w:rPr>
                <w:rFonts w:hint="eastAsia" w:ascii="宋体" w:eastAsia="宋体"/>
                <w:kern w:val="0"/>
                <w:szCs w:val="21"/>
                <w:lang w:val="zh-CN"/>
              </w:rPr>
              <w:t>（4）安装调试方案。</w:t>
            </w:r>
          </w:p>
          <w:p w14:paraId="57902470">
            <w:pPr>
              <w:spacing w:line="360" w:lineRule="exact"/>
              <w:rPr>
                <w:rFonts w:hint="eastAsia" w:ascii="宋体" w:eastAsia="宋体"/>
                <w:kern w:val="0"/>
                <w:szCs w:val="21"/>
                <w:lang w:val="zh-CN"/>
              </w:rPr>
            </w:pPr>
            <w:r>
              <w:rPr>
                <w:rFonts w:hint="eastAsia" w:ascii="宋体" w:eastAsia="宋体"/>
                <w:kern w:val="0"/>
                <w:szCs w:val="21"/>
                <w:lang w:val="zh-CN"/>
              </w:rPr>
              <w:t>（二）评分标准：</w:t>
            </w:r>
          </w:p>
          <w:p w14:paraId="03B5A7A7">
            <w:pPr>
              <w:spacing w:line="360" w:lineRule="exact"/>
              <w:rPr>
                <w:rFonts w:hint="eastAsia" w:ascii="宋体" w:eastAsia="宋体"/>
                <w:kern w:val="0"/>
                <w:szCs w:val="21"/>
                <w:lang w:val="zh-CN"/>
              </w:rPr>
            </w:pPr>
            <w:r>
              <w:rPr>
                <w:rFonts w:hint="eastAsia" w:ascii="宋体" w:eastAsia="宋体"/>
                <w:kern w:val="0"/>
                <w:szCs w:val="21"/>
                <w:lang w:val="zh-CN"/>
              </w:rPr>
              <w:t>方案每</w:t>
            </w:r>
            <w:r>
              <w:rPr>
                <w:rFonts w:hint="eastAsia" w:ascii="宋体" w:eastAsia="宋体"/>
                <w:kern w:val="0"/>
                <w:szCs w:val="21"/>
                <w:lang w:val="en-US" w:eastAsia="zh-CN"/>
              </w:rPr>
              <w:t>包含</w:t>
            </w:r>
            <w:r>
              <w:rPr>
                <w:rFonts w:hint="eastAsia" w:ascii="宋体" w:eastAsia="宋体"/>
                <w:kern w:val="0"/>
                <w:szCs w:val="21"/>
                <w:lang w:val="zh-CN"/>
              </w:rPr>
              <w:t>以上任意一项得</w:t>
            </w:r>
            <w:r>
              <w:rPr>
                <w:rFonts w:hint="eastAsia" w:ascii="宋体" w:eastAsia="宋体"/>
                <w:kern w:val="0"/>
                <w:szCs w:val="21"/>
                <w:lang w:val="en-US" w:eastAsia="zh-CN"/>
              </w:rPr>
              <w:t>2</w:t>
            </w:r>
            <w:r>
              <w:rPr>
                <w:rFonts w:hint="eastAsia" w:ascii="宋体" w:eastAsia="宋体"/>
                <w:kern w:val="0"/>
                <w:szCs w:val="21"/>
                <w:lang w:val="zh-CN"/>
              </w:rPr>
              <w:t>分</w:t>
            </w:r>
            <w:r>
              <w:rPr>
                <w:rFonts w:hint="eastAsia" w:ascii="宋体" w:eastAsia="宋体"/>
                <w:kern w:val="0"/>
                <w:szCs w:val="21"/>
                <w:lang w:val="zh-CN" w:eastAsia="zh-CN"/>
              </w:rPr>
              <w:t>，</w:t>
            </w:r>
            <w:r>
              <w:rPr>
                <w:rFonts w:hint="eastAsia" w:ascii="宋体" w:eastAsia="宋体"/>
                <w:kern w:val="0"/>
                <w:szCs w:val="21"/>
                <w:lang w:val="zh-CN"/>
              </w:rPr>
              <w:t>最高得</w:t>
            </w:r>
            <w:r>
              <w:rPr>
                <w:rFonts w:hint="eastAsia" w:ascii="宋体"/>
                <w:kern w:val="0"/>
                <w:szCs w:val="21"/>
                <w:lang w:val="en-US" w:eastAsia="zh-CN"/>
              </w:rPr>
              <w:t>8</w:t>
            </w:r>
            <w:r>
              <w:rPr>
                <w:rFonts w:hint="eastAsia" w:ascii="宋体" w:eastAsia="宋体"/>
                <w:kern w:val="0"/>
                <w:szCs w:val="21"/>
                <w:lang w:val="zh-CN"/>
              </w:rPr>
              <w:t>分</w:t>
            </w:r>
            <w:r>
              <w:rPr>
                <w:rFonts w:hint="eastAsia" w:ascii="宋体" w:eastAsia="宋体"/>
                <w:kern w:val="0"/>
                <w:szCs w:val="21"/>
                <w:lang w:val="zh-CN" w:eastAsia="zh-CN"/>
              </w:rPr>
              <w:t>，</w:t>
            </w:r>
            <w:r>
              <w:rPr>
                <w:rFonts w:hint="eastAsia" w:ascii="宋体" w:eastAsia="宋体"/>
                <w:kern w:val="0"/>
                <w:szCs w:val="21"/>
                <w:lang w:val="zh-CN"/>
              </w:rPr>
              <w:t>其他情况不得分。</w:t>
            </w:r>
          </w:p>
          <w:p w14:paraId="7166D586">
            <w:pPr>
              <w:spacing w:line="360" w:lineRule="exact"/>
              <w:rPr>
                <w:rFonts w:hint="eastAsia" w:ascii="宋体" w:eastAsia="宋体"/>
                <w:kern w:val="0"/>
                <w:szCs w:val="21"/>
                <w:lang w:val="zh-CN"/>
              </w:rPr>
            </w:pPr>
            <w:r>
              <w:rPr>
                <w:rFonts w:hint="eastAsia" w:ascii="宋体" w:eastAsia="宋体"/>
                <w:kern w:val="0"/>
                <w:szCs w:val="21"/>
                <w:lang w:val="zh-CN"/>
              </w:rPr>
              <w:t>在此基础上，根据方案响应情况进一步评审：</w:t>
            </w:r>
          </w:p>
          <w:p w14:paraId="55248014">
            <w:pPr>
              <w:spacing w:line="360" w:lineRule="exact"/>
              <w:rPr>
                <w:rFonts w:hint="eastAsia" w:ascii="宋体" w:eastAsia="宋体"/>
                <w:kern w:val="0"/>
                <w:szCs w:val="21"/>
                <w:lang w:val="zh-CN"/>
              </w:rPr>
            </w:pPr>
            <w:r>
              <w:rPr>
                <w:rFonts w:hint="eastAsia" w:ascii="宋体" w:eastAsia="宋体"/>
                <w:kern w:val="0"/>
                <w:szCs w:val="21"/>
                <w:lang w:val="zh-CN"/>
              </w:rPr>
              <w:t>（1）方案整体科学合理、针对性强、可操作性强，评审为优的，加</w:t>
            </w:r>
            <w:r>
              <w:rPr>
                <w:rFonts w:hint="eastAsia" w:ascii="宋体"/>
                <w:kern w:val="0"/>
                <w:szCs w:val="21"/>
                <w:lang w:val="en-US" w:eastAsia="zh-CN"/>
              </w:rPr>
              <w:t>10</w:t>
            </w:r>
            <w:r>
              <w:rPr>
                <w:rFonts w:hint="eastAsia" w:ascii="宋体" w:eastAsia="宋体"/>
                <w:kern w:val="0"/>
                <w:szCs w:val="21"/>
                <w:lang w:val="zh-CN"/>
              </w:rPr>
              <w:t>分；</w:t>
            </w:r>
          </w:p>
          <w:p w14:paraId="64DBA28D">
            <w:pPr>
              <w:spacing w:line="360" w:lineRule="exact"/>
              <w:rPr>
                <w:rFonts w:hint="eastAsia" w:ascii="宋体" w:eastAsia="宋体"/>
                <w:kern w:val="0"/>
                <w:szCs w:val="21"/>
                <w:lang w:val="zh-CN"/>
              </w:rPr>
            </w:pPr>
            <w:r>
              <w:rPr>
                <w:rFonts w:hint="eastAsia" w:ascii="宋体" w:eastAsia="宋体"/>
                <w:kern w:val="0"/>
                <w:szCs w:val="21"/>
                <w:lang w:val="zh-CN"/>
              </w:rPr>
              <w:t>（2）方案较合理、有一定针对性、一定可操作性，评审为良的，加</w:t>
            </w:r>
            <w:r>
              <w:rPr>
                <w:rFonts w:hint="eastAsia" w:ascii="宋体"/>
                <w:kern w:val="0"/>
                <w:szCs w:val="21"/>
                <w:lang w:val="en-US" w:eastAsia="zh-CN"/>
              </w:rPr>
              <w:t>6</w:t>
            </w:r>
            <w:r>
              <w:rPr>
                <w:rFonts w:hint="eastAsia" w:ascii="宋体" w:eastAsia="宋体"/>
                <w:kern w:val="0"/>
                <w:szCs w:val="21"/>
                <w:lang w:val="zh-CN"/>
              </w:rPr>
              <w:t>分；</w:t>
            </w:r>
          </w:p>
          <w:p w14:paraId="72760054">
            <w:pPr>
              <w:spacing w:line="360" w:lineRule="exact"/>
              <w:rPr>
                <w:rFonts w:hint="eastAsia" w:ascii="宋体" w:eastAsia="宋体"/>
                <w:kern w:val="0"/>
                <w:szCs w:val="21"/>
                <w:lang w:val="zh-CN"/>
              </w:rPr>
            </w:pPr>
            <w:r>
              <w:rPr>
                <w:rFonts w:hint="eastAsia" w:ascii="宋体" w:eastAsia="宋体"/>
                <w:kern w:val="0"/>
                <w:szCs w:val="21"/>
                <w:lang w:val="zh-CN"/>
              </w:rPr>
              <w:t>（3）方案不尽合理、针对性一般、可操作性一般，评审为中的，加</w:t>
            </w:r>
            <w:r>
              <w:rPr>
                <w:rFonts w:hint="eastAsia" w:ascii="宋体"/>
                <w:kern w:val="0"/>
                <w:szCs w:val="21"/>
                <w:lang w:val="en-US" w:eastAsia="zh-CN"/>
              </w:rPr>
              <w:t>3</w:t>
            </w:r>
            <w:r>
              <w:rPr>
                <w:rFonts w:hint="eastAsia" w:ascii="宋体" w:eastAsia="宋体"/>
                <w:kern w:val="0"/>
                <w:szCs w:val="21"/>
                <w:lang w:val="zh-CN"/>
              </w:rPr>
              <w:t>分；</w:t>
            </w:r>
          </w:p>
          <w:p w14:paraId="0806EE10">
            <w:pPr>
              <w:pStyle w:val="94"/>
              <w:spacing w:line="360" w:lineRule="exact"/>
              <w:ind w:firstLine="0" w:firstLineChars="0"/>
              <w:rPr>
                <w:rFonts w:ascii="宋体" w:hAnsi="宋体"/>
                <w:szCs w:val="21"/>
              </w:rPr>
            </w:pPr>
            <w:r>
              <w:rPr>
                <w:rFonts w:hint="eastAsia" w:ascii="宋体" w:eastAsia="宋体"/>
                <w:kern w:val="0"/>
                <w:szCs w:val="21"/>
                <w:lang w:val="zh-CN"/>
              </w:rPr>
              <w:t>（4）方案不合理、无针对性、无可操作性，评审为差的，</w:t>
            </w:r>
            <w:r>
              <w:rPr>
                <w:rFonts w:hint="eastAsia" w:ascii="宋体" w:eastAsia="宋体"/>
                <w:kern w:val="0"/>
                <w:szCs w:val="21"/>
                <w:lang w:val="en-US" w:eastAsia="zh-CN"/>
              </w:rPr>
              <w:t>不加分</w:t>
            </w:r>
            <w:r>
              <w:rPr>
                <w:rFonts w:hint="eastAsia" w:ascii="宋体" w:eastAsia="宋体"/>
                <w:kern w:val="0"/>
                <w:szCs w:val="21"/>
                <w:lang w:val="zh-CN"/>
              </w:rPr>
              <w:t>。</w:t>
            </w:r>
            <w:bookmarkStart w:id="115" w:name="_GoBack"/>
            <w:bookmarkEnd w:id="115"/>
          </w:p>
        </w:tc>
        <w:tc>
          <w:tcPr>
            <w:tcW w:w="1187" w:type="dxa"/>
            <w:vAlign w:val="center"/>
          </w:tcPr>
          <w:p w14:paraId="21BA870F">
            <w:pPr>
              <w:spacing w:line="360" w:lineRule="exact"/>
              <w:jc w:val="center"/>
              <w:rPr>
                <w:rFonts w:ascii="宋体" w:hAnsi="宋体" w:cs="仿宋"/>
                <w:szCs w:val="21"/>
                <w:lang w:val="zh-CN"/>
              </w:rPr>
            </w:pPr>
            <w:r>
              <w:rPr>
                <w:rFonts w:hint="eastAsia" w:ascii="宋体" w:hAnsi="宋体" w:cs="仿宋"/>
                <w:szCs w:val="21"/>
              </w:rPr>
              <w:t>评委打分</w:t>
            </w:r>
          </w:p>
        </w:tc>
      </w:tr>
      <w:tr w14:paraId="26CA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2" w:hRule="atLeast"/>
          <w:jc w:val="center"/>
        </w:trPr>
        <w:tc>
          <w:tcPr>
            <w:tcW w:w="754" w:type="dxa"/>
            <w:vAlign w:val="center"/>
          </w:tcPr>
          <w:p w14:paraId="34CE26F6">
            <w:pPr>
              <w:widowControl/>
              <w:snapToGrid w:val="0"/>
              <w:spacing w:line="360" w:lineRule="exact"/>
              <w:jc w:val="center"/>
              <w:rPr>
                <w:rFonts w:ascii="宋体" w:hAnsi="宋体"/>
                <w:kern w:val="0"/>
                <w:szCs w:val="21"/>
              </w:rPr>
            </w:pPr>
            <w:r>
              <w:rPr>
                <w:rFonts w:hint="eastAsia" w:ascii="宋体" w:hAnsi="宋体"/>
                <w:kern w:val="0"/>
                <w:szCs w:val="21"/>
              </w:rPr>
              <w:t>4</w:t>
            </w:r>
          </w:p>
        </w:tc>
        <w:tc>
          <w:tcPr>
            <w:tcW w:w="1143" w:type="dxa"/>
            <w:vAlign w:val="center"/>
          </w:tcPr>
          <w:p w14:paraId="2F15FD9A">
            <w:pPr>
              <w:spacing w:line="360" w:lineRule="exact"/>
              <w:jc w:val="center"/>
              <w:rPr>
                <w:rFonts w:ascii="宋体" w:hAnsi="宋体" w:cs="宋体"/>
                <w:szCs w:val="21"/>
              </w:rPr>
            </w:pPr>
            <w:r>
              <w:rPr>
                <w:rFonts w:hint="eastAsia" w:asciiTheme="minorEastAsia" w:hAnsiTheme="minorEastAsia" w:eastAsiaTheme="minorEastAsia"/>
                <w:szCs w:val="21"/>
              </w:rPr>
              <w:t>售后服务方案</w:t>
            </w:r>
          </w:p>
        </w:tc>
        <w:tc>
          <w:tcPr>
            <w:tcW w:w="709" w:type="dxa"/>
            <w:vAlign w:val="center"/>
          </w:tcPr>
          <w:p w14:paraId="5F4FEAEE">
            <w:pPr>
              <w:spacing w:line="360" w:lineRule="exact"/>
              <w:jc w:val="center"/>
              <w:rPr>
                <w:rFonts w:ascii="宋体" w:hAnsi="宋体" w:cs="宋体"/>
                <w:kern w:val="0"/>
                <w:szCs w:val="21"/>
              </w:rPr>
            </w:pPr>
            <w:r>
              <w:rPr>
                <w:rFonts w:hint="eastAsia" w:ascii="宋体" w:hAnsi="宋体" w:eastAsia="宋体" w:cs="宋体"/>
                <w:color w:val="000000"/>
                <w:kern w:val="0"/>
                <w:szCs w:val="21"/>
              </w:rPr>
              <w:t>9</w:t>
            </w:r>
          </w:p>
        </w:tc>
        <w:tc>
          <w:tcPr>
            <w:tcW w:w="5953" w:type="dxa"/>
            <w:vAlign w:val="center"/>
          </w:tcPr>
          <w:p w14:paraId="0B1B8CE9">
            <w:pPr>
              <w:spacing w:line="360" w:lineRule="exact"/>
              <w:rPr>
                <w:rFonts w:ascii="宋体" w:hAnsi="宋体"/>
                <w:szCs w:val="21"/>
              </w:rPr>
            </w:pPr>
            <w:r>
              <w:rPr>
                <w:rFonts w:hint="eastAsia" w:ascii="宋体" w:hAnsi="宋体"/>
                <w:szCs w:val="21"/>
              </w:rPr>
              <w:t>（一）评分内容：</w:t>
            </w:r>
          </w:p>
          <w:p w14:paraId="6F9ECDA5">
            <w:pPr>
              <w:spacing w:line="3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2BE26754">
            <w:pPr>
              <w:widowControl/>
              <w:spacing w:line="360" w:lineRule="exact"/>
              <w:rPr>
                <w:rFonts w:ascii="宋体" w:hAnsi="宋体" w:cs="仿宋"/>
                <w:szCs w:val="21"/>
              </w:rPr>
            </w:pPr>
            <w:r>
              <w:rPr>
                <w:rFonts w:hint="eastAsia" w:ascii="宋体" w:hAnsi="宋体" w:cs="仿宋"/>
                <w:szCs w:val="21"/>
              </w:rPr>
              <w:t>（1）售后服务团队情况；</w:t>
            </w:r>
          </w:p>
          <w:p w14:paraId="1CF514D4">
            <w:pPr>
              <w:widowControl/>
              <w:spacing w:line="360" w:lineRule="exact"/>
              <w:rPr>
                <w:rFonts w:ascii="宋体" w:hAnsi="宋体" w:cs="仿宋"/>
                <w:szCs w:val="21"/>
              </w:rPr>
            </w:pPr>
            <w:r>
              <w:rPr>
                <w:rFonts w:hint="eastAsia" w:ascii="宋体" w:hAnsi="宋体" w:cs="仿宋"/>
                <w:szCs w:val="21"/>
              </w:rPr>
              <w:t>（2）</w:t>
            </w:r>
            <w:r>
              <w:rPr>
                <w:rFonts w:hint="eastAsia" w:ascii="宋体" w:eastAsia="宋体"/>
                <w:kern w:val="0"/>
                <w:szCs w:val="21"/>
              </w:rPr>
              <w:t>售后服务流程</w:t>
            </w:r>
            <w:r>
              <w:rPr>
                <w:rFonts w:hint="eastAsia" w:ascii="宋体" w:hAnsi="宋体" w:cs="仿宋"/>
                <w:szCs w:val="21"/>
              </w:rPr>
              <w:t>；</w:t>
            </w:r>
          </w:p>
          <w:p w14:paraId="7A2D6A8E">
            <w:pPr>
              <w:widowControl/>
              <w:spacing w:line="360" w:lineRule="exact"/>
              <w:rPr>
                <w:rFonts w:ascii="宋体" w:hAnsi="宋体" w:cs="仿宋"/>
                <w:szCs w:val="21"/>
              </w:rPr>
            </w:pPr>
            <w:r>
              <w:rPr>
                <w:rFonts w:hint="eastAsia" w:ascii="宋体" w:hAnsi="宋体" w:cs="仿宋"/>
                <w:szCs w:val="21"/>
              </w:rPr>
              <w:t>（3）</w:t>
            </w:r>
            <w:r>
              <w:rPr>
                <w:rFonts w:hint="eastAsia" w:ascii="宋体" w:eastAsia="宋体"/>
                <w:kern w:val="0"/>
                <w:szCs w:val="21"/>
              </w:rPr>
              <w:t>备品备件储备情况</w:t>
            </w:r>
            <w:r>
              <w:rPr>
                <w:rFonts w:hint="eastAsia" w:ascii="宋体" w:hAnsi="宋体" w:cs="仿宋"/>
                <w:szCs w:val="21"/>
              </w:rPr>
              <w:t>。</w:t>
            </w:r>
          </w:p>
          <w:p w14:paraId="419ECC68">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6E63A808">
            <w:pPr>
              <w:spacing w:line="360" w:lineRule="exact"/>
              <w:rPr>
                <w:rFonts w:asciiTheme="minorEastAsia" w:hAnsiTheme="minorEastAsia" w:eastAsiaTheme="minorEastAsia"/>
                <w:szCs w:val="21"/>
              </w:rPr>
            </w:pPr>
            <w:r>
              <w:rPr>
                <w:rFonts w:ascii="宋体" w:eastAsia="宋体"/>
                <w:kern w:val="0"/>
                <w:szCs w:val="21"/>
              </w:rPr>
              <w:t>每提供上述任意一项内容得</w:t>
            </w:r>
            <w:r>
              <w:rPr>
                <w:rFonts w:hint="eastAsia" w:ascii="宋体" w:eastAsia="宋体"/>
                <w:kern w:val="0"/>
                <w:szCs w:val="21"/>
              </w:rPr>
              <w:t>1</w:t>
            </w:r>
            <w:r>
              <w:rPr>
                <w:rFonts w:ascii="宋体" w:eastAsia="宋体"/>
                <w:kern w:val="0"/>
                <w:szCs w:val="21"/>
              </w:rPr>
              <w:t>分</w:t>
            </w:r>
            <w:r>
              <w:rPr>
                <w:rFonts w:hint="eastAsia" w:asciiTheme="minorEastAsia" w:hAnsiTheme="minorEastAsia" w:eastAsiaTheme="minorEastAsia"/>
                <w:szCs w:val="21"/>
              </w:rPr>
              <w:t>；最高得</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分，其他情况不得分。</w:t>
            </w:r>
          </w:p>
          <w:p w14:paraId="2F926D0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14:paraId="76C86DC6">
            <w:pPr>
              <w:spacing w:line="360" w:lineRule="exact"/>
              <w:rPr>
                <w:rFonts w:ascii="宋体" w:eastAsia="宋体"/>
                <w:kern w:val="0"/>
                <w:szCs w:val="21"/>
                <w:lang w:val="zh-CN"/>
              </w:rPr>
            </w:pPr>
            <w:r>
              <w:rPr>
                <w:rFonts w:hint="eastAsia" w:ascii="宋体" w:eastAsia="宋体"/>
                <w:kern w:val="0"/>
                <w:szCs w:val="21"/>
                <w:lang w:val="zh-CN"/>
              </w:rPr>
              <w:t>（1）方案整体科学合理、针对性强、可操作性强，评审为优的，加</w:t>
            </w:r>
            <w:r>
              <w:rPr>
                <w:rFonts w:hint="eastAsia" w:ascii="宋体"/>
                <w:kern w:val="0"/>
                <w:szCs w:val="21"/>
                <w:lang w:val="en-US" w:eastAsia="zh-CN"/>
              </w:rPr>
              <w:t>6</w:t>
            </w:r>
            <w:r>
              <w:rPr>
                <w:rFonts w:hint="eastAsia" w:ascii="宋体" w:eastAsia="宋体"/>
                <w:kern w:val="0"/>
                <w:szCs w:val="21"/>
                <w:lang w:val="zh-CN"/>
              </w:rPr>
              <w:t>分；</w:t>
            </w:r>
          </w:p>
          <w:p w14:paraId="0BCBA0F5">
            <w:pPr>
              <w:spacing w:line="360" w:lineRule="exact"/>
              <w:rPr>
                <w:rFonts w:ascii="宋体" w:eastAsia="宋体"/>
                <w:kern w:val="0"/>
                <w:szCs w:val="21"/>
                <w:lang w:val="zh-CN"/>
              </w:rPr>
            </w:pPr>
            <w:r>
              <w:rPr>
                <w:rFonts w:hint="eastAsia" w:ascii="宋体" w:eastAsia="宋体"/>
                <w:kern w:val="0"/>
                <w:szCs w:val="21"/>
                <w:lang w:val="zh-CN"/>
              </w:rPr>
              <w:t>（2）方案较合理、有一定针对性、一定可操作性，评审为良的，加</w:t>
            </w:r>
            <w:r>
              <w:rPr>
                <w:rFonts w:hint="eastAsia" w:ascii="宋体"/>
                <w:kern w:val="0"/>
                <w:szCs w:val="21"/>
                <w:lang w:val="en-US" w:eastAsia="zh-CN"/>
              </w:rPr>
              <w:t>4</w:t>
            </w:r>
            <w:r>
              <w:rPr>
                <w:rFonts w:hint="eastAsia" w:ascii="宋体" w:eastAsia="宋体"/>
                <w:kern w:val="0"/>
                <w:szCs w:val="21"/>
                <w:lang w:val="zh-CN"/>
              </w:rPr>
              <w:t>分；</w:t>
            </w:r>
          </w:p>
          <w:p w14:paraId="604DC39E">
            <w:pPr>
              <w:spacing w:line="360" w:lineRule="exact"/>
              <w:rPr>
                <w:rFonts w:ascii="宋体" w:eastAsia="宋体"/>
                <w:kern w:val="0"/>
                <w:szCs w:val="21"/>
                <w:lang w:val="zh-CN"/>
              </w:rPr>
            </w:pPr>
            <w:r>
              <w:rPr>
                <w:rFonts w:hint="eastAsia" w:ascii="宋体" w:eastAsia="宋体"/>
                <w:kern w:val="0"/>
                <w:szCs w:val="21"/>
                <w:lang w:val="zh-CN"/>
              </w:rPr>
              <w:t>（3）方案不尽合理、针对性一般、可操作性一般，评审为中的，加</w:t>
            </w:r>
            <w:r>
              <w:rPr>
                <w:rFonts w:hint="eastAsia" w:ascii="宋体" w:eastAsia="宋体"/>
                <w:kern w:val="0"/>
                <w:szCs w:val="21"/>
                <w:lang w:val="en-US" w:eastAsia="zh-CN"/>
              </w:rPr>
              <w:t>2</w:t>
            </w:r>
            <w:r>
              <w:rPr>
                <w:rFonts w:hint="eastAsia" w:ascii="宋体" w:eastAsia="宋体"/>
                <w:kern w:val="0"/>
                <w:szCs w:val="21"/>
                <w:lang w:val="zh-CN"/>
              </w:rPr>
              <w:t>分；</w:t>
            </w:r>
          </w:p>
          <w:p w14:paraId="6E2D6355">
            <w:pPr>
              <w:pStyle w:val="94"/>
              <w:spacing w:line="360" w:lineRule="exact"/>
              <w:ind w:firstLine="0" w:firstLineChars="0"/>
              <w:rPr>
                <w:rFonts w:ascii="宋体" w:hAnsi="宋体"/>
                <w:szCs w:val="21"/>
              </w:rPr>
            </w:pPr>
            <w:r>
              <w:rPr>
                <w:rFonts w:hint="eastAsia" w:ascii="宋体" w:eastAsia="宋体"/>
                <w:kern w:val="0"/>
                <w:szCs w:val="21"/>
                <w:lang w:val="zh-CN"/>
              </w:rPr>
              <w:t>（4）方案不合理、无针对性、无可操作性，评审为差的，</w:t>
            </w:r>
            <w:r>
              <w:rPr>
                <w:rFonts w:hint="eastAsia" w:ascii="宋体" w:eastAsia="宋体"/>
                <w:kern w:val="0"/>
                <w:szCs w:val="21"/>
                <w:lang w:val="en-US" w:eastAsia="zh-CN"/>
              </w:rPr>
              <w:t>不加分</w:t>
            </w:r>
            <w:r>
              <w:rPr>
                <w:rFonts w:hint="eastAsia" w:ascii="宋体" w:eastAsia="宋体"/>
                <w:kern w:val="0"/>
                <w:szCs w:val="21"/>
                <w:lang w:val="zh-CN"/>
              </w:rPr>
              <w:t>。</w:t>
            </w:r>
          </w:p>
        </w:tc>
        <w:tc>
          <w:tcPr>
            <w:tcW w:w="1187" w:type="dxa"/>
            <w:vAlign w:val="center"/>
          </w:tcPr>
          <w:p w14:paraId="7299FC23">
            <w:pPr>
              <w:spacing w:line="360" w:lineRule="exact"/>
              <w:jc w:val="center"/>
              <w:rPr>
                <w:rFonts w:ascii="宋体" w:hAnsi="宋体" w:cs="仿宋"/>
                <w:szCs w:val="21"/>
                <w:lang w:val="zh-CN"/>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rPr>
              <w:t>2</w:t>
            </w:r>
            <w:r>
              <w:rPr>
                <w:rFonts w:hint="eastAsia" w:ascii="宋体" w:hAnsi="宋体" w:cs="仿宋"/>
                <w:b/>
                <w:szCs w:val="21"/>
                <w:lang w:val="en-US" w:eastAsia="zh-CN"/>
              </w:rPr>
              <w:t>5</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6" w:hRule="atLeast"/>
          <w:jc w:val="center"/>
        </w:trPr>
        <w:tc>
          <w:tcPr>
            <w:tcW w:w="754" w:type="dxa"/>
            <w:vAlign w:val="center"/>
          </w:tcPr>
          <w:p w14:paraId="5C832404">
            <w:pPr>
              <w:widowControl/>
              <w:spacing w:line="360" w:lineRule="exact"/>
              <w:jc w:val="center"/>
              <w:rPr>
                <w:rFonts w:hint="eastAsia" w:ascii="宋体" w:hAnsi="宋体" w:eastAsia="宋体" w:cs="宋体"/>
                <w:kern w:val="0"/>
                <w:szCs w:val="21"/>
                <w:lang w:val="zh-CN"/>
              </w:rPr>
            </w:pPr>
            <w:r>
              <w:rPr>
                <w:rFonts w:hint="eastAsia" w:ascii="宋体" w:hAnsi="宋体" w:eastAsia="宋体" w:cs="宋体"/>
                <w:kern w:val="0"/>
                <w:szCs w:val="21"/>
                <w:lang w:val="en-US" w:eastAsia="zh-CN"/>
              </w:rPr>
              <w:t>1</w:t>
            </w:r>
          </w:p>
        </w:tc>
        <w:tc>
          <w:tcPr>
            <w:tcW w:w="1143" w:type="dxa"/>
            <w:vAlign w:val="center"/>
          </w:tcPr>
          <w:p w14:paraId="66998310">
            <w:pPr>
              <w:widowControl/>
              <w:spacing w:line="360" w:lineRule="exact"/>
              <w:jc w:val="center"/>
              <w:rPr>
                <w:rFonts w:hint="eastAsia" w:ascii="宋体" w:hAnsi="宋体" w:eastAsia="宋体" w:cs="宋体"/>
                <w:kern w:val="0"/>
                <w:szCs w:val="21"/>
              </w:rPr>
            </w:pPr>
            <w:r>
              <w:rPr>
                <w:rFonts w:hint="eastAsia" w:ascii="宋体" w:hAnsi="宋体" w:eastAsia="宋体" w:cs="宋体"/>
                <w:kern w:val="0"/>
                <w:szCs w:val="21"/>
              </w:rPr>
              <w:t>有效业绩</w:t>
            </w:r>
          </w:p>
        </w:tc>
        <w:tc>
          <w:tcPr>
            <w:tcW w:w="709" w:type="dxa"/>
            <w:vAlign w:val="center"/>
          </w:tcPr>
          <w:p w14:paraId="704CD572">
            <w:pPr>
              <w:widowControl/>
              <w:spacing w:line="360" w:lineRule="exact"/>
              <w:jc w:val="center"/>
              <w:rPr>
                <w:rFonts w:hint="eastAsia" w:ascii="宋体" w:hAnsi="宋体" w:eastAsia="宋体" w:cs="宋体"/>
                <w:kern w:val="0"/>
                <w:szCs w:val="21"/>
              </w:rPr>
            </w:pPr>
            <w:r>
              <w:rPr>
                <w:rFonts w:hint="eastAsia" w:ascii="宋体" w:hAnsi="宋体" w:eastAsia="宋体" w:cs="宋体"/>
                <w:kern w:val="0"/>
                <w:szCs w:val="21"/>
                <w:lang w:val="en-US" w:eastAsia="zh-CN"/>
              </w:rPr>
              <w:t>20</w:t>
            </w:r>
          </w:p>
        </w:tc>
        <w:tc>
          <w:tcPr>
            <w:tcW w:w="5953" w:type="dxa"/>
            <w:vAlign w:val="top"/>
          </w:tcPr>
          <w:p w14:paraId="556D0F1A">
            <w:pPr>
              <w:pStyle w:val="94"/>
              <w:spacing w:line="360" w:lineRule="exact"/>
              <w:ind w:firstLine="0" w:firstLineChars="0"/>
              <w:rPr>
                <w:rFonts w:hint="eastAsia" w:ascii="宋体" w:hAnsi="Times New Roman" w:eastAsia="宋体" w:cs="Times New Roman"/>
                <w:kern w:val="0"/>
                <w:szCs w:val="21"/>
                <w:lang w:val="zh-CN"/>
              </w:rPr>
            </w:pPr>
            <w:r>
              <w:rPr>
                <w:rFonts w:hint="eastAsia" w:ascii="宋体" w:hAnsi="Times New Roman" w:eastAsia="宋体" w:cs="Times New Roman"/>
                <w:kern w:val="0"/>
                <w:szCs w:val="21"/>
                <w:lang w:val="zh-CN"/>
              </w:rPr>
              <w:t xml:space="preserve">（一）评分内容： </w:t>
            </w:r>
          </w:p>
          <w:p w14:paraId="324A5F13">
            <w:pPr>
              <w:pStyle w:val="94"/>
              <w:spacing w:line="360" w:lineRule="exact"/>
              <w:ind w:firstLine="0" w:firstLineChars="0"/>
              <w:rPr>
                <w:rFonts w:hint="eastAsia" w:ascii="宋体" w:hAnsi="Times New Roman" w:eastAsia="宋体" w:cs="Times New Roman"/>
                <w:kern w:val="0"/>
                <w:szCs w:val="21"/>
                <w:lang w:val="zh-CN"/>
              </w:rPr>
            </w:pPr>
            <w:r>
              <w:rPr>
                <w:rFonts w:hint="eastAsia" w:ascii="宋体" w:hAnsi="Times New Roman" w:eastAsia="宋体" w:cs="Times New Roman"/>
                <w:kern w:val="0"/>
                <w:szCs w:val="21"/>
                <w:lang w:val="zh-CN"/>
              </w:rPr>
              <w:t>20</w:t>
            </w:r>
            <w:r>
              <w:rPr>
                <w:rFonts w:hint="eastAsia" w:ascii="宋体" w:hAnsi="Times New Roman" w:eastAsia="宋体" w:cs="Times New Roman"/>
                <w:kern w:val="0"/>
                <w:szCs w:val="21"/>
                <w:lang w:val="en-US" w:eastAsia="zh-CN"/>
              </w:rPr>
              <w:t>22</w:t>
            </w:r>
            <w:r>
              <w:rPr>
                <w:rFonts w:hint="eastAsia" w:ascii="宋体" w:hAnsi="Times New Roman" w:eastAsia="宋体" w:cs="Times New Roman"/>
                <w:kern w:val="0"/>
                <w:szCs w:val="21"/>
                <w:lang w:val="zh-CN"/>
              </w:rPr>
              <w:t>年1月1日至本项目投标截止日（以合同签订日期为准），投标人具有呼叫系统同类项目业绩的，每提供1个项目得</w:t>
            </w:r>
            <w:r>
              <w:rPr>
                <w:rFonts w:hint="eastAsia" w:ascii="宋体" w:hAnsi="Times New Roman" w:eastAsia="宋体" w:cs="Times New Roman"/>
                <w:kern w:val="0"/>
                <w:szCs w:val="21"/>
                <w:lang w:val="en-US" w:eastAsia="zh-CN"/>
              </w:rPr>
              <w:t>5</w:t>
            </w:r>
            <w:r>
              <w:rPr>
                <w:rFonts w:hint="eastAsia" w:ascii="宋体" w:hAnsi="Times New Roman" w:eastAsia="宋体" w:cs="Times New Roman"/>
                <w:kern w:val="0"/>
                <w:szCs w:val="21"/>
                <w:lang w:val="zh-CN"/>
              </w:rPr>
              <w:t>分，最高得</w:t>
            </w:r>
            <w:r>
              <w:rPr>
                <w:rFonts w:hint="eastAsia" w:ascii="宋体" w:hAnsi="Times New Roman" w:eastAsia="宋体" w:cs="Times New Roman"/>
                <w:kern w:val="0"/>
                <w:szCs w:val="21"/>
                <w:lang w:val="en-US" w:eastAsia="zh-CN"/>
              </w:rPr>
              <w:t>20</w:t>
            </w:r>
            <w:r>
              <w:rPr>
                <w:rFonts w:hint="eastAsia" w:ascii="宋体" w:hAnsi="Times New Roman" w:eastAsia="宋体" w:cs="Times New Roman"/>
                <w:kern w:val="0"/>
                <w:szCs w:val="21"/>
                <w:lang w:val="zh-CN"/>
              </w:rPr>
              <w:t xml:space="preserve">分。 </w:t>
            </w:r>
          </w:p>
          <w:p w14:paraId="495FB46C">
            <w:pPr>
              <w:pStyle w:val="94"/>
              <w:spacing w:line="360" w:lineRule="exact"/>
              <w:ind w:firstLine="0" w:firstLineChars="0"/>
              <w:rPr>
                <w:rFonts w:hint="eastAsia" w:ascii="宋体" w:hAnsi="Times New Roman" w:eastAsia="宋体" w:cs="Times New Roman"/>
                <w:kern w:val="0"/>
                <w:szCs w:val="21"/>
                <w:lang w:val="zh-CN"/>
              </w:rPr>
            </w:pPr>
            <w:r>
              <w:rPr>
                <w:rFonts w:hint="eastAsia" w:ascii="宋体" w:hAnsi="Times New Roman" w:eastAsia="宋体" w:cs="Times New Roman"/>
                <w:kern w:val="0"/>
                <w:szCs w:val="21"/>
                <w:lang w:val="zh-CN"/>
              </w:rPr>
              <w:t xml:space="preserve">（二）评分依据： </w:t>
            </w:r>
          </w:p>
          <w:p w14:paraId="1AD649D3">
            <w:pPr>
              <w:pStyle w:val="94"/>
              <w:spacing w:line="360" w:lineRule="exact"/>
              <w:ind w:firstLine="0" w:firstLineChars="0"/>
              <w:rPr>
                <w:rFonts w:hint="eastAsia" w:ascii="宋体" w:hAnsi="Times New Roman" w:eastAsia="宋体" w:cs="Times New Roman"/>
                <w:kern w:val="0"/>
                <w:szCs w:val="21"/>
                <w:lang w:val="zh-CN"/>
              </w:rPr>
            </w:pPr>
            <w:r>
              <w:rPr>
                <w:rFonts w:hint="eastAsia" w:ascii="宋体" w:hAnsi="Times New Roman" w:eastAsia="宋体" w:cs="Times New Roman"/>
                <w:kern w:val="0"/>
                <w:szCs w:val="21"/>
                <w:lang w:val="zh-CN"/>
              </w:rPr>
              <w:t xml:space="preserve">1.提供合同关键页（至少包含货物清单、采购人名称、合同签订日期和签字盖章页）且各项信息不得有任何遮挡； </w:t>
            </w:r>
          </w:p>
          <w:p w14:paraId="39B37B20">
            <w:pPr>
              <w:pStyle w:val="94"/>
              <w:spacing w:line="360" w:lineRule="exact"/>
              <w:ind w:firstLine="0" w:firstLineChars="0"/>
              <w:rPr>
                <w:rFonts w:ascii="宋体" w:hAnsi="宋体" w:cs="仿宋"/>
                <w:szCs w:val="21"/>
              </w:rPr>
            </w:pPr>
            <w:r>
              <w:rPr>
                <w:rFonts w:hint="eastAsia" w:ascii="宋体" w:hAnsi="Times New Roman" w:eastAsia="宋体" w:cs="Times New Roman"/>
                <w:kern w:val="0"/>
                <w:szCs w:val="21"/>
                <w:lang w:val="zh-CN"/>
              </w:rPr>
              <w:t>2. 以上证明文件均提供扫描件，原件备查。未按要求提供有效证明材料或提供不清晰导致评委无法识别的不计得分。</w:t>
            </w:r>
          </w:p>
        </w:tc>
        <w:tc>
          <w:tcPr>
            <w:tcW w:w="1187" w:type="dxa"/>
            <w:vAlign w:val="center"/>
          </w:tcPr>
          <w:p w14:paraId="724A856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2</w:t>
            </w:r>
          </w:p>
        </w:tc>
        <w:tc>
          <w:tcPr>
            <w:tcW w:w="1143" w:type="dxa"/>
            <w:vAlign w:val="center"/>
          </w:tcPr>
          <w:p w14:paraId="494B7C60">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44690703"/>
      <w:bookmarkStart w:id="12" w:name="_Toc44691394"/>
      <w:bookmarkStart w:id="13" w:name="_Toc44690430"/>
      <w:bookmarkStart w:id="14" w:name="_Toc44691162"/>
      <w:bookmarkStart w:id="15" w:name="_Toc135293326"/>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F05E48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hint="eastAsia" w:asciiTheme="minorEastAsia" w:hAnsiTheme="minorEastAsia" w:eastAsiaTheme="minorEastAsia"/>
          <w:szCs w:val="21"/>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656AEF0">
      <w:pPr>
        <w:autoSpaceDE w:val="0"/>
        <w:autoSpaceDN w:val="0"/>
        <w:adjustRightInd w:val="0"/>
        <w:spacing w:line="360" w:lineRule="auto"/>
        <w:ind w:firstLine="369" w:firstLineChars="176"/>
        <w:jc w:val="left"/>
        <w:rPr>
          <w:rFonts w:hint="eastAsia" w:asciiTheme="minorEastAsia" w:hAnsiTheme="minorEastAsia" w:eastAsiaTheme="minorEastAsia"/>
          <w:szCs w:val="21"/>
        </w:rPr>
      </w:pPr>
    </w:p>
    <w:p w14:paraId="132A6B68">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Ansi="宋体"/>
              </w:rPr>
            </w:pPr>
            <w:r>
              <w:rPr>
                <w:rFonts w:hint="eastAsia" w:hAnsi="宋体"/>
              </w:rPr>
              <w:t>项号</w:t>
            </w:r>
          </w:p>
        </w:tc>
        <w:tc>
          <w:tcPr>
            <w:tcW w:w="1038" w:type="dxa"/>
            <w:vAlign w:val="center"/>
          </w:tcPr>
          <w:p w14:paraId="1A021A33">
            <w:pPr>
              <w:pStyle w:val="27"/>
              <w:spacing w:line="360" w:lineRule="auto"/>
              <w:jc w:val="center"/>
              <w:rPr>
                <w:rFonts w:hAnsi="宋体"/>
              </w:rPr>
            </w:pPr>
            <w:r>
              <w:rPr>
                <w:rFonts w:hint="eastAsia" w:hAnsi="宋体"/>
              </w:rPr>
              <w:t>条款号</w:t>
            </w:r>
          </w:p>
        </w:tc>
        <w:tc>
          <w:tcPr>
            <w:tcW w:w="1843" w:type="dxa"/>
            <w:vAlign w:val="center"/>
          </w:tcPr>
          <w:p w14:paraId="6C99B8DD">
            <w:pPr>
              <w:pStyle w:val="27"/>
              <w:spacing w:line="360" w:lineRule="auto"/>
              <w:jc w:val="center"/>
              <w:rPr>
                <w:rFonts w:hAnsi="宋体"/>
              </w:rPr>
            </w:pPr>
            <w:r>
              <w:rPr>
                <w:rFonts w:hint="eastAsia" w:hAnsi="宋体"/>
              </w:rPr>
              <w:t>内容</w:t>
            </w:r>
          </w:p>
        </w:tc>
        <w:tc>
          <w:tcPr>
            <w:tcW w:w="6520" w:type="dxa"/>
          </w:tcPr>
          <w:p w14:paraId="79032F6D">
            <w:pPr>
              <w:pStyle w:val="27"/>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Ansi="宋体"/>
              </w:rPr>
            </w:pPr>
            <w:r>
              <w:rPr>
                <w:rFonts w:hAnsi="宋体"/>
              </w:rPr>
              <w:t>1</w:t>
            </w:r>
          </w:p>
        </w:tc>
        <w:tc>
          <w:tcPr>
            <w:tcW w:w="1038" w:type="dxa"/>
            <w:vAlign w:val="center"/>
          </w:tcPr>
          <w:p w14:paraId="08DCF3BC">
            <w:pPr>
              <w:pStyle w:val="27"/>
              <w:spacing w:line="360" w:lineRule="auto"/>
              <w:jc w:val="center"/>
              <w:rPr>
                <w:rFonts w:hAnsi="宋体"/>
              </w:rPr>
            </w:pPr>
            <w:r>
              <w:rPr>
                <w:rFonts w:hAnsi="宋体"/>
              </w:rPr>
              <w:t>1.1</w:t>
            </w:r>
          </w:p>
        </w:tc>
        <w:tc>
          <w:tcPr>
            <w:tcW w:w="1843" w:type="dxa"/>
            <w:vAlign w:val="center"/>
          </w:tcPr>
          <w:p w14:paraId="5DB3C0C3">
            <w:pPr>
              <w:pStyle w:val="27"/>
              <w:spacing w:line="360" w:lineRule="exact"/>
              <w:jc w:val="center"/>
              <w:rPr>
                <w:rFonts w:hAnsi="宋体"/>
              </w:rPr>
            </w:pPr>
            <w:r>
              <w:rPr>
                <w:rFonts w:hint="eastAsia" w:hAnsi="宋体"/>
              </w:rPr>
              <w:t>项目名称</w:t>
            </w:r>
          </w:p>
        </w:tc>
        <w:tc>
          <w:tcPr>
            <w:tcW w:w="6520" w:type="dxa"/>
            <w:vAlign w:val="center"/>
          </w:tcPr>
          <w:p w14:paraId="4CD063BC">
            <w:pPr>
              <w:pStyle w:val="27"/>
              <w:spacing w:line="360" w:lineRule="exact"/>
              <w:rPr>
                <w:rFonts w:hint="eastAsia" w:eastAsia="宋体"/>
                <w:lang w:eastAsia="zh-CN"/>
              </w:rPr>
            </w:pPr>
            <w:r>
              <w:rPr>
                <w:rFonts w:hint="eastAsia" w:asciiTheme="minorEastAsia" w:hAnsiTheme="minorEastAsia" w:eastAsiaTheme="minorEastAsia"/>
                <w:lang w:eastAsia="zh-CN"/>
              </w:rPr>
              <w:t>福海社区医院购置安装呼叫系统、医气、负压机房装置</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Ansi="宋体"/>
              </w:rPr>
            </w:pPr>
            <w:r>
              <w:rPr>
                <w:rFonts w:hint="eastAsia" w:hAnsi="宋体"/>
              </w:rPr>
              <w:t>2</w:t>
            </w:r>
          </w:p>
        </w:tc>
        <w:tc>
          <w:tcPr>
            <w:tcW w:w="1038" w:type="dxa"/>
            <w:vAlign w:val="center"/>
          </w:tcPr>
          <w:p w14:paraId="75EDB50D">
            <w:pPr>
              <w:pStyle w:val="27"/>
              <w:spacing w:line="360" w:lineRule="auto"/>
              <w:jc w:val="center"/>
              <w:rPr>
                <w:rFonts w:hAnsi="宋体"/>
              </w:rPr>
            </w:pPr>
            <w:r>
              <w:rPr>
                <w:rFonts w:hAnsi="宋体"/>
              </w:rPr>
              <w:t>2.1</w:t>
            </w:r>
          </w:p>
        </w:tc>
        <w:tc>
          <w:tcPr>
            <w:tcW w:w="1843" w:type="dxa"/>
            <w:vAlign w:val="center"/>
          </w:tcPr>
          <w:p w14:paraId="0DD45AF4">
            <w:pPr>
              <w:pStyle w:val="27"/>
              <w:spacing w:line="360" w:lineRule="exact"/>
              <w:jc w:val="center"/>
              <w:rPr>
                <w:rFonts w:hAnsi="宋体"/>
              </w:rPr>
            </w:pPr>
            <w:r>
              <w:rPr>
                <w:rFonts w:hint="eastAsia" w:hAnsi="宋体"/>
              </w:rPr>
              <w:t>采购人</w:t>
            </w:r>
          </w:p>
        </w:tc>
        <w:tc>
          <w:tcPr>
            <w:tcW w:w="6520" w:type="dxa"/>
            <w:vAlign w:val="center"/>
          </w:tcPr>
          <w:p w14:paraId="522BEA8D">
            <w:pPr>
              <w:pStyle w:val="27"/>
              <w:spacing w:line="360" w:lineRule="exact"/>
              <w:rPr>
                <w:rFonts w:hint="default" w:hAnsi="宋体" w:eastAsia="宋体"/>
                <w:szCs w:val="24"/>
                <w:lang w:val="en-US" w:eastAsia="zh-CN"/>
              </w:rPr>
            </w:pPr>
            <w:r>
              <w:rPr>
                <w:rFonts w:hint="default" w:hAnsi="宋体" w:eastAsia="宋体"/>
                <w:szCs w:val="24"/>
                <w:lang w:val="en-US" w:eastAsia="zh-CN"/>
              </w:rPr>
              <w:t xml:space="preserve">深圳市宝安区福永人民医院 </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Ansi="宋体"/>
              </w:rPr>
            </w:pPr>
            <w:r>
              <w:rPr>
                <w:rFonts w:hint="eastAsia" w:hAnsi="宋体"/>
              </w:rPr>
              <w:t>3</w:t>
            </w:r>
          </w:p>
        </w:tc>
        <w:tc>
          <w:tcPr>
            <w:tcW w:w="1038" w:type="dxa"/>
            <w:vAlign w:val="center"/>
          </w:tcPr>
          <w:p w14:paraId="13B91ECC">
            <w:pPr>
              <w:pStyle w:val="27"/>
              <w:spacing w:line="360" w:lineRule="auto"/>
              <w:jc w:val="center"/>
              <w:rPr>
                <w:rFonts w:hAnsi="宋体"/>
              </w:rPr>
            </w:pPr>
            <w:r>
              <w:rPr>
                <w:rFonts w:hAnsi="宋体"/>
              </w:rPr>
              <w:t>2.2</w:t>
            </w:r>
          </w:p>
        </w:tc>
        <w:tc>
          <w:tcPr>
            <w:tcW w:w="1843" w:type="dxa"/>
            <w:vAlign w:val="center"/>
          </w:tcPr>
          <w:p w14:paraId="132E9C30">
            <w:pPr>
              <w:pStyle w:val="27"/>
              <w:spacing w:line="360" w:lineRule="exact"/>
              <w:jc w:val="center"/>
              <w:rPr>
                <w:rFonts w:hAnsi="宋体"/>
              </w:rPr>
            </w:pPr>
            <w:r>
              <w:rPr>
                <w:rFonts w:hint="eastAsia" w:hAnsi="宋体"/>
              </w:rPr>
              <w:t>采购代理机构</w:t>
            </w:r>
          </w:p>
        </w:tc>
        <w:tc>
          <w:tcPr>
            <w:tcW w:w="6520" w:type="dxa"/>
            <w:vAlign w:val="center"/>
          </w:tcPr>
          <w:p w14:paraId="5B81D321">
            <w:pPr>
              <w:pStyle w:val="27"/>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Ansi="宋体"/>
              </w:rPr>
            </w:pPr>
            <w:r>
              <w:rPr>
                <w:rFonts w:hint="eastAsia" w:hAnsi="宋体"/>
              </w:rPr>
              <w:t>4</w:t>
            </w:r>
          </w:p>
        </w:tc>
        <w:tc>
          <w:tcPr>
            <w:tcW w:w="1038" w:type="dxa"/>
            <w:vAlign w:val="center"/>
          </w:tcPr>
          <w:p w14:paraId="31572A4E">
            <w:pPr>
              <w:pStyle w:val="27"/>
              <w:spacing w:line="360" w:lineRule="auto"/>
              <w:jc w:val="center"/>
              <w:rPr>
                <w:rFonts w:hAnsi="宋体"/>
              </w:rPr>
            </w:pPr>
            <w:r>
              <w:rPr>
                <w:rFonts w:hint="eastAsia" w:hAnsi="宋体"/>
              </w:rPr>
              <w:t>3.1</w:t>
            </w:r>
          </w:p>
        </w:tc>
        <w:tc>
          <w:tcPr>
            <w:tcW w:w="1843" w:type="dxa"/>
            <w:vAlign w:val="center"/>
          </w:tcPr>
          <w:p w14:paraId="0405CD55">
            <w:pPr>
              <w:pStyle w:val="27"/>
              <w:spacing w:line="360" w:lineRule="exact"/>
              <w:jc w:val="center"/>
              <w:rPr>
                <w:rFonts w:hAnsi="宋体"/>
              </w:rPr>
            </w:pPr>
            <w:r>
              <w:rPr>
                <w:rFonts w:hint="eastAsia" w:hAnsi="宋体"/>
              </w:rPr>
              <w:t>资金来源</w:t>
            </w:r>
          </w:p>
        </w:tc>
        <w:tc>
          <w:tcPr>
            <w:tcW w:w="6520" w:type="dxa"/>
            <w:vAlign w:val="center"/>
          </w:tcPr>
          <w:p w14:paraId="5817DB0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Ansi="宋体"/>
              </w:rPr>
            </w:pPr>
            <w:r>
              <w:rPr>
                <w:rFonts w:hint="eastAsia" w:hAnsi="宋体"/>
              </w:rPr>
              <w:t>5</w:t>
            </w:r>
          </w:p>
        </w:tc>
        <w:tc>
          <w:tcPr>
            <w:tcW w:w="1038" w:type="dxa"/>
            <w:vAlign w:val="center"/>
          </w:tcPr>
          <w:p w14:paraId="37A4AD37">
            <w:pPr>
              <w:pStyle w:val="27"/>
              <w:spacing w:line="360" w:lineRule="auto"/>
              <w:jc w:val="center"/>
              <w:rPr>
                <w:rFonts w:hAnsi="宋体"/>
              </w:rPr>
            </w:pPr>
            <w:r>
              <w:rPr>
                <w:rFonts w:hint="eastAsia" w:hAnsi="宋体"/>
              </w:rPr>
              <w:t>4.7</w:t>
            </w:r>
          </w:p>
        </w:tc>
        <w:tc>
          <w:tcPr>
            <w:tcW w:w="1843" w:type="dxa"/>
            <w:vAlign w:val="center"/>
          </w:tcPr>
          <w:p w14:paraId="5CB3B1B9">
            <w:pPr>
              <w:pStyle w:val="27"/>
              <w:spacing w:line="360" w:lineRule="auto"/>
              <w:jc w:val="center"/>
              <w:rPr>
                <w:rFonts w:hAnsi="宋体"/>
              </w:rPr>
            </w:pPr>
            <w:r>
              <w:rPr>
                <w:rFonts w:hint="eastAsia" w:hAnsi="宋体"/>
              </w:rPr>
              <w:t>投标人资格要求</w:t>
            </w:r>
          </w:p>
        </w:tc>
        <w:tc>
          <w:tcPr>
            <w:tcW w:w="6520" w:type="dxa"/>
            <w:vAlign w:val="center"/>
          </w:tcPr>
          <w:p w14:paraId="3AB9BA9D">
            <w:pPr>
              <w:pStyle w:val="27"/>
              <w:spacing w:line="360" w:lineRule="auto"/>
              <w:rPr>
                <w:rFonts w:hAnsi="宋体"/>
                <w:szCs w:val="21"/>
              </w:rPr>
            </w:pPr>
            <w:r>
              <w:rPr>
                <w:rFonts w:hint="eastAsia" w:hAnsi="宋体"/>
                <w:szCs w:val="21"/>
              </w:rPr>
              <w:t>详见《第一章 投标邀请》“申请人的资格要求”</w:t>
            </w:r>
          </w:p>
          <w:p w14:paraId="2D25F91C">
            <w:pPr>
              <w:pStyle w:val="27"/>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Ansi="宋体"/>
              </w:rPr>
            </w:pPr>
            <w:r>
              <w:rPr>
                <w:rFonts w:hint="eastAsia" w:hAnsi="宋体"/>
              </w:rPr>
              <w:t>6</w:t>
            </w:r>
          </w:p>
        </w:tc>
        <w:tc>
          <w:tcPr>
            <w:tcW w:w="1038" w:type="dxa"/>
            <w:vAlign w:val="center"/>
          </w:tcPr>
          <w:p w14:paraId="02413314">
            <w:pPr>
              <w:pStyle w:val="27"/>
              <w:spacing w:line="360" w:lineRule="auto"/>
              <w:jc w:val="center"/>
              <w:rPr>
                <w:rFonts w:hAnsi="宋体"/>
              </w:rPr>
            </w:pPr>
            <w:r>
              <w:rPr>
                <w:rFonts w:hint="eastAsia" w:hAnsi="宋体"/>
              </w:rPr>
              <w:t>4.8</w:t>
            </w:r>
          </w:p>
        </w:tc>
        <w:tc>
          <w:tcPr>
            <w:tcW w:w="1843" w:type="dxa"/>
            <w:vAlign w:val="center"/>
          </w:tcPr>
          <w:p w14:paraId="4781E7FE">
            <w:pPr>
              <w:pStyle w:val="27"/>
              <w:spacing w:line="360" w:lineRule="auto"/>
              <w:jc w:val="center"/>
              <w:rPr>
                <w:rFonts w:hAnsi="宋体"/>
              </w:rPr>
            </w:pPr>
            <w:r>
              <w:rPr>
                <w:rFonts w:hint="eastAsia" w:hAnsi="宋体"/>
              </w:rPr>
              <w:t>联合体投标</w:t>
            </w:r>
          </w:p>
        </w:tc>
        <w:tc>
          <w:tcPr>
            <w:tcW w:w="6520" w:type="dxa"/>
          </w:tcPr>
          <w:p w14:paraId="1F87C69D">
            <w:pPr>
              <w:pStyle w:val="27"/>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Ansi="宋体"/>
              </w:rPr>
            </w:pPr>
            <w:r>
              <w:rPr>
                <w:rFonts w:hint="eastAsia" w:hAnsi="宋体"/>
              </w:rPr>
              <w:t>7</w:t>
            </w:r>
          </w:p>
        </w:tc>
        <w:tc>
          <w:tcPr>
            <w:tcW w:w="1038" w:type="dxa"/>
            <w:vAlign w:val="center"/>
          </w:tcPr>
          <w:p w14:paraId="01F73E4B">
            <w:pPr>
              <w:pStyle w:val="27"/>
              <w:spacing w:line="360" w:lineRule="auto"/>
              <w:jc w:val="center"/>
              <w:rPr>
                <w:rFonts w:hAnsi="宋体"/>
              </w:rPr>
            </w:pPr>
            <w:r>
              <w:rPr>
                <w:rFonts w:hint="eastAsia" w:hAnsi="宋体"/>
              </w:rPr>
              <w:t>6.1</w:t>
            </w:r>
          </w:p>
        </w:tc>
        <w:tc>
          <w:tcPr>
            <w:tcW w:w="1843" w:type="dxa"/>
            <w:vAlign w:val="center"/>
          </w:tcPr>
          <w:p w14:paraId="3F0E5C38">
            <w:pPr>
              <w:pStyle w:val="27"/>
              <w:spacing w:line="360" w:lineRule="auto"/>
              <w:jc w:val="center"/>
              <w:rPr>
                <w:rFonts w:hAnsi="宋体"/>
              </w:rPr>
            </w:pPr>
            <w:r>
              <w:rPr>
                <w:rFonts w:hint="eastAsia" w:hAnsi="宋体"/>
              </w:rPr>
              <w:t>踏勘现场</w:t>
            </w:r>
          </w:p>
        </w:tc>
        <w:tc>
          <w:tcPr>
            <w:tcW w:w="6520" w:type="dxa"/>
          </w:tcPr>
          <w:p w14:paraId="79B31CEC">
            <w:pPr>
              <w:pStyle w:val="27"/>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Ansi="宋体"/>
              </w:rPr>
            </w:pPr>
            <w:r>
              <w:rPr>
                <w:rFonts w:hint="eastAsia" w:hAnsi="宋体"/>
              </w:rPr>
              <w:t>8</w:t>
            </w:r>
          </w:p>
        </w:tc>
        <w:tc>
          <w:tcPr>
            <w:tcW w:w="1038" w:type="dxa"/>
            <w:vAlign w:val="center"/>
          </w:tcPr>
          <w:p w14:paraId="18D0FD2A">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Ansi="宋体"/>
              </w:rPr>
            </w:pPr>
            <w:r>
              <w:rPr>
                <w:rFonts w:hint="eastAsia" w:hAnsi="宋体"/>
              </w:rPr>
              <w:t>投标有效期</w:t>
            </w:r>
          </w:p>
        </w:tc>
        <w:tc>
          <w:tcPr>
            <w:tcW w:w="6520" w:type="dxa"/>
          </w:tcPr>
          <w:p w14:paraId="76D6D6FA">
            <w:pPr>
              <w:pStyle w:val="27"/>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Ansi="宋体"/>
              </w:rPr>
            </w:pPr>
            <w:r>
              <w:rPr>
                <w:rFonts w:hint="eastAsia" w:hAnsi="宋体"/>
              </w:rPr>
              <w:t>9</w:t>
            </w:r>
          </w:p>
        </w:tc>
        <w:tc>
          <w:tcPr>
            <w:tcW w:w="1038" w:type="dxa"/>
            <w:vAlign w:val="center"/>
          </w:tcPr>
          <w:p w14:paraId="5033C374">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Ansi="宋体"/>
              </w:rPr>
            </w:pPr>
            <w:r>
              <w:rPr>
                <w:rFonts w:hint="eastAsia" w:hAnsi="宋体"/>
              </w:rPr>
              <w:t>10</w:t>
            </w:r>
          </w:p>
        </w:tc>
        <w:tc>
          <w:tcPr>
            <w:tcW w:w="1038" w:type="dxa"/>
            <w:vAlign w:val="center"/>
          </w:tcPr>
          <w:p w14:paraId="7DBEC1C9">
            <w:pPr>
              <w:pStyle w:val="27"/>
              <w:spacing w:line="360" w:lineRule="auto"/>
              <w:jc w:val="center"/>
              <w:rPr>
                <w:rFonts w:hAnsi="宋体"/>
              </w:rPr>
            </w:pPr>
            <w:r>
              <w:rPr>
                <w:rFonts w:hint="eastAsia" w:hAnsi="宋体"/>
              </w:rPr>
              <w:t>16.1</w:t>
            </w:r>
          </w:p>
        </w:tc>
        <w:tc>
          <w:tcPr>
            <w:tcW w:w="1843" w:type="dxa"/>
            <w:vAlign w:val="center"/>
          </w:tcPr>
          <w:p w14:paraId="097D75BC">
            <w:pPr>
              <w:pStyle w:val="27"/>
              <w:spacing w:line="360" w:lineRule="auto"/>
              <w:jc w:val="center"/>
              <w:rPr>
                <w:rFonts w:hAnsi="宋体"/>
              </w:rPr>
            </w:pPr>
            <w:r>
              <w:rPr>
                <w:rFonts w:hint="eastAsia" w:hAnsi="宋体"/>
              </w:rPr>
              <w:t>投标预备会</w:t>
            </w:r>
          </w:p>
          <w:p w14:paraId="46F7F572">
            <w:pPr>
              <w:pStyle w:val="27"/>
              <w:spacing w:line="360" w:lineRule="auto"/>
              <w:jc w:val="center"/>
              <w:rPr>
                <w:rFonts w:hAnsi="宋体"/>
              </w:rPr>
            </w:pPr>
            <w:r>
              <w:rPr>
                <w:rFonts w:hint="eastAsia" w:hAnsi="宋体"/>
              </w:rPr>
              <w:t>（答疑会）</w:t>
            </w:r>
          </w:p>
        </w:tc>
        <w:tc>
          <w:tcPr>
            <w:tcW w:w="6520" w:type="dxa"/>
            <w:vAlign w:val="center"/>
          </w:tcPr>
          <w:p w14:paraId="4F9A2586">
            <w:pPr>
              <w:pStyle w:val="27"/>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Ansi="宋体"/>
              </w:rPr>
            </w:pPr>
            <w:r>
              <w:rPr>
                <w:rFonts w:hint="eastAsia" w:hAnsi="宋体"/>
              </w:rPr>
              <w:t>11</w:t>
            </w:r>
          </w:p>
        </w:tc>
        <w:tc>
          <w:tcPr>
            <w:tcW w:w="1038" w:type="dxa"/>
            <w:vAlign w:val="center"/>
          </w:tcPr>
          <w:p w14:paraId="2D0122F2">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Ansi="宋体"/>
              </w:rPr>
            </w:pPr>
            <w:r>
              <w:rPr>
                <w:rFonts w:hint="eastAsia" w:hAnsi="宋体"/>
              </w:rPr>
              <w:t>投标文件数量</w:t>
            </w:r>
          </w:p>
        </w:tc>
        <w:tc>
          <w:tcPr>
            <w:tcW w:w="6520" w:type="dxa"/>
          </w:tcPr>
          <w:p w14:paraId="69A1C2D8">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Ansi="宋体"/>
              </w:rPr>
            </w:pPr>
            <w:r>
              <w:rPr>
                <w:rFonts w:hint="eastAsia" w:hAnsi="宋体"/>
              </w:rPr>
              <w:t>12</w:t>
            </w:r>
          </w:p>
        </w:tc>
        <w:tc>
          <w:tcPr>
            <w:tcW w:w="1038" w:type="dxa"/>
            <w:vAlign w:val="center"/>
          </w:tcPr>
          <w:p w14:paraId="4E188869">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Ansi="宋体"/>
              </w:rPr>
            </w:pPr>
            <w:r>
              <w:rPr>
                <w:rFonts w:hint="eastAsia" w:hAnsi="宋体"/>
              </w:rPr>
              <w:t>开标</w:t>
            </w:r>
          </w:p>
        </w:tc>
        <w:tc>
          <w:tcPr>
            <w:tcW w:w="6520" w:type="dxa"/>
          </w:tcPr>
          <w:p w14:paraId="6D3C1C2E">
            <w:pPr>
              <w:pStyle w:val="27"/>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Ansi="宋体"/>
              </w:rPr>
            </w:pPr>
            <w:r>
              <w:rPr>
                <w:rFonts w:hint="eastAsia" w:hAnsi="宋体"/>
              </w:rPr>
              <w:t>13</w:t>
            </w:r>
          </w:p>
        </w:tc>
        <w:tc>
          <w:tcPr>
            <w:tcW w:w="1038" w:type="dxa"/>
            <w:vAlign w:val="center"/>
          </w:tcPr>
          <w:p w14:paraId="74C80F3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Ansi="宋体"/>
              </w:rPr>
            </w:pPr>
            <w:r>
              <w:rPr>
                <w:rFonts w:hint="eastAsia" w:hAnsi="宋体"/>
              </w:rPr>
              <w:t>投标截止时间</w:t>
            </w:r>
          </w:p>
        </w:tc>
        <w:tc>
          <w:tcPr>
            <w:tcW w:w="6520" w:type="dxa"/>
          </w:tcPr>
          <w:p w14:paraId="11514B42">
            <w:pPr>
              <w:pStyle w:val="27"/>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Ansi="宋体"/>
              </w:rPr>
            </w:pPr>
            <w:r>
              <w:rPr>
                <w:rFonts w:hint="eastAsia" w:hAnsi="宋体"/>
              </w:rPr>
              <w:t>14</w:t>
            </w:r>
          </w:p>
        </w:tc>
        <w:tc>
          <w:tcPr>
            <w:tcW w:w="1038" w:type="dxa"/>
            <w:vAlign w:val="center"/>
          </w:tcPr>
          <w:p w14:paraId="61DC3D01">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Ansi="宋体"/>
              </w:rPr>
            </w:pPr>
            <w:r>
              <w:rPr>
                <w:rFonts w:hint="eastAsia" w:hAnsi="宋体"/>
              </w:rPr>
              <w:t>评标办法</w:t>
            </w:r>
          </w:p>
        </w:tc>
        <w:tc>
          <w:tcPr>
            <w:tcW w:w="6520" w:type="dxa"/>
          </w:tcPr>
          <w:p w14:paraId="3F44DD43">
            <w:pPr>
              <w:pStyle w:val="27"/>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Ansi="宋体"/>
              </w:rPr>
            </w:pPr>
            <w:r>
              <w:rPr>
                <w:rFonts w:hint="eastAsia" w:hAnsi="宋体"/>
              </w:rPr>
              <w:t>15</w:t>
            </w:r>
          </w:p>
        </w:tc>
        <w:tc>
          <w:tcPr>
            <w:tcW w:w="1038" w:type="dxa"/>
            <w:vAlign w:val="center"/>
          </w:tcPr>
          <w:p w14:paraId="557E05EA">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Ansi="宋体"/>
              </w:rPr>
            </w:pPr>
            <w:r>
              <w:rPr>
                <w:rFonts w:hint="eastAsia" w:hAnsi="宋体"/>
              </w:rPr>
              <w:t>16</w:t>
            </w:r>
          </w:p>
        </w:tc>
        <w:tc>
          <w:tcPr>
            <w:tcW w:w="1038" w:type="dxa"/>
            <w:vAlign w:val="center"/>
          </w:tcPr>
          <w:p w14:paraId="065D8B8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Ansi="宋体"/>
              </w:rPr>
            </w:pPr>
            <w:r>
              <w:rPr>
                <w:rFonts w:hint="eastAsia" w:hAnsi="宋体"/>
              </w:rPr>
              <w:t>中标服务费</w:t>
            </w:r>
          </w:p>
        </w:tc>
        <w:tc>
          <w:tcPr>
            <w:tcW w:w="6520" w:type="dxa"/>
          </w:tcPr>
          <w:p w14:paraId="57E9BAEC">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4792F84">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szCs w:val="20"/>
                <w:u w:val="single"/>
                <w:lang w:val="en-US" w:eastAsia="zh-CN"/>
              </w:rPr>
              <w:t>10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3C81C024">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4D8B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w:pict>
                <v:line id="直线 6" o:spid="_x0000_s3102"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3"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101"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44690704"/>
      <w:bookmarkStart w:id="37" w:name="_Toc31468"/>
      <w:bookmarkStart w:id="38" w:name="_Toc25194"/>
      <w:bookmarkStart w:id="39" w:name="_Toc44691163"/>
      <w:bookmarkStart w:id="40" w:name="_Toc44690431"/>
      <w:bookmarkStart w:id="41" w:name="_Toc11772"/>
      <w:bookmarkStart w:id="42" w:name="_Toc44691395"/>
      <w:bookmarkStart w:id="43" w:name="_Toc14934"/>
      <w:bookmarkStart w:id="44" w:name="_Toc135293339"/>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0A4CF92C">
      <w:pPr>
        <w:pStyle w:val="4"/>
        <w:spacing w:line="400" w:lineRule="exact"/>
        <w:rPr>
          <w:rFonts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22"/>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22"/>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14:paraId="2F880319">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22"/>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22"/>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22"/>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7"/>
        <w:spacing w:line="360" w:lineRule="auto"/>
        <w:ind w:firstLine="424" w:firstLineChars="201"/>
        <w:rPr>
          <w:rFonts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23"/>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同一人员可以担任多个职务。上述项目负责人、主要技术人员必须为供应商本单位人员，主要技术人员不等同于项目团队成员。</w:t>
            </w:r>
          </w:p>
          <w:p w14:paraId="121D999C">
            <w:pPr>
              <w:pStyle w:val="506"/>
              <w:numPr>
                <w:ilvl w:val="0"/>
                <w:numId w:val="23"/>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如因主管部门原因最近一个月的社保证明无法提供，可往前顺延一至二个月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0705"/>
      <w:bookmarkStart w:id="53" w:name="_Toc44691396"/>
      <w:bookmarkStart w:id="54" w:name="_Toc135293343"/>
      <w:bookmarkStart w:id="55" w:name="_Toc44691164"/>
      <w:bookmarkStart w:id="56" w:name="_Toc44690432"/>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rPr>
        <w:t>电话：</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asciiTheme="minorEastAsia" w:hAnsiTheme="minorEastAsia" w:eastAsiaTheme="minorEastAsia"/>
        </w:rPr>
      </w:pPr>
      <w:bookmarkStart w:id="60" w:name="_Toc135293346"/>
      <w:r>
        <w:rPr>
          <w:rFonts w:hint="eastAsia" w:asciiTheme="minorEastAsia" w:hAnsiTheme="minorEastAsia" w:eastAsiaTheme="minorEastAsia"/>
        </w:rPr>
        <w:t>格式4  评分中涉及的承诺及声明函</w:t>
      </w:r>
      <w:bookmarkEnd w:id="60"/>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12BFBDF8">
      <w:pPr>
        <w:adjustRightInd w:val="0"/>
        <w:snapToGrid w:val="0"/>
        <w:spacing w:line="360" w:lineRule="auto"/>
        <w:ind w:firstLine="600"/>
        <w:jc w:val="left"/>
      </w:pPr>
    </w:p>
    <w:p w14:paraId="4367FFC2">
      <w:pPr>
        <w:rPr>
          <w:rFonts w:hint="eastAsia" w:asciiTheme="minorEastAsia" w:hAnsiTheme="minorEastAsia" w:eastAsiaTheme="minorEastAsia"/>
        </w:rPr>
      </w:pPr>
      <w:bookmarkStart w:id="62" w:name="_Toc135293347"/>
      <w:bookmarkStart w:id="63" w:name="_Toc44690706"/>
      <w:bookmarkStart w:id="64" w:name="_Toc44691165"/>
      <w:bookmarkStart w:id="65" w:name="_Toc44690433"/>
      <w:bookmarkStart w:id="66" w:name="_Toc44691397"/>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福海社区医院购置安装呼叫系统、医气、负压机房装置</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44691398"/>
      <w:bookmarkStart w:id="68" w:name="_Toc44690707"/>
      <w:bookmarkStart w:id="69" w:name="_Toc44691166"/>
      <w:bookmarkStart w:id="70" w:name="_Toc44690434"/>
      <w:bookmarkStart w:id="71" w:name="_Toc135293348"/>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138FEC50">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26BB697C">
      <w:pPr>
        <w:adjustRightInd w:val="0"/>
        <w:snapToGrid w:val="0"/>
        <w:spacing w:line="300" w:lineRule="auto"/>
        <w:jc w:val="center"/>
        <w:rPr>
          <w:rFonts w:asciiTheme="minorEastAsia" w:hAnsiTheme="minorEastAsia" w:eastAsiaTheme="minorEastAsia"/>
          <w:snapToGrid w:val="0"/>
          <w:kern w:val="0"/>
        </w:rPr>
      </w:pPr>
    </w:p>
    <w:p w14:paraId="2946E7FE">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3096E3B3">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Ansi="宋体"/>
                <w:bCs/>
                <w:szCs w:val="21"/>
              </w:rPr>
            </w:pPr>
            <w:r>
              <w:rPr>
                <w:rFonts w:hint="eastAsia" w:hAnsi="宋体"/>
                <w:bCs/>
                <w:szCs w:val="21"/>
              </w:rPr>
              <w:t>年度保修</w:t>
            </w:r>
          </w:p>
        </w:tc>
        <w:tc>
          <w:tcPr>
            <w:tcW w:w="2693" w:type="dxa"/>
          </w:tcPr>
          <w:p w14:paraId="3A34226C">
            <w:pPr>
              <w:jc w:val="center"/>
              <w:rPr>
                <w:rFonts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Ansi="宋体"/>
                <w:b/>
                <w:bCs/>
                <w:szCs w:val="21"/>
              </w:rPr>
            </w:pPr>
          </w:p>
        </w:tc>
        <w:tc>
          <w:tcPr>
            <w:tcW w:w="2693" w:type="dxa"/>
          </w:tcPr>
          <w:p w14:paraId="52B4AD7A">
            <w:pPr>
              <w:jc w:val="center"/>
              <w:rPr>
                <w:rFonts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Ansi="宋体"/>
                <w:b/>
                <w:bCs/>
                <w:szCs w:val="21"/>
              </w:rPr>
            </w:pPr>
          </w:p>
        </w:tc>
        <w:tc>
          <w:tcPr>
            <w:tcW w:w="2693" w:type="dxa"/>
          </w:tcPr>
          <w:p w14:paraId="4E51C77D">
            <w:pPr>
              <w:jc w:val="center"/>
              <w:rPr>
                <w:rFonts w:hAnsi="宋体"/>
                <w:b/>
                <w:bCs/>
                <w:szCs w:val="21"/>
              </w:rPr>
            </w:pPr>
          </w:p>
        </w:tc>
      </w:tr>
    </w:tbl>
    <w:p w14:paraId="3F9C9329">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三</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1167"/>
      <w:bookmarkStart w:id="73" w:name="_Toc44690708"/>
      <w:bookmarkStart w:id="74" w:name="_Toc44690435"/>
      <w:bookmarkStart w:id="75" w:name="_Toc44691399"/>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79F43C19">
      <w:pPr>
        <w:spacing w:line="360" w:lineRule="auto"/>
        <w:ind w:left="420"/>
        <w:rPr>
          <w:rFonts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asciiTheme="minorEastAsia" w:hAnsiTheme="minorEastAsia" w:eastAsiaTheme="minorEastAsia"/>
        </w:rPr>
      </w:pPr>
      <w:bookmarkStart w:id="77" w:name="_Toc135293350"/>
    </w:p>
    <w:p w14:paraId="555465F6"/>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0436"/>
      <w:bookmarkStart w:id="79" w:name="_Toc44691168"/>
      <w:bookmarkStart w:id="80" w:name="_Toc44691400"/>
      <w:bookmarkStart w:id="81" w:name="_Toc44690709"/>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q17"/>
      <w:bookmarkEnd w:id="83"/>
      <w:bookmarkStart w:id="84" w:name="_格式4__"/>
      <w:bookmarkEnd w:id="84"/>
      <w:bookmarkStart w:id="85" w:name="q15"/>
      <w:bookmarkEnd w:id="85"/>
      <w:bookmarkStart w:id="86" w:name="_格式2__投标保证金凭证"/>
      <w:bookmarkEnd w:id="86"/>
      <w:bookmarkStart w:id="87" w:name="q16"/>
      <w:bookmarkEnd w:id="87"/>
      <w:bookmarkStart w:id="88" w:name="_格式5__"/>
      <w:bookmarkEnd w:id="88"/>
      <w:bookmarkStart w:id="89" w:name="_格式3__"/>
      <w:bookmarkEnd w:id="89"/>
      <w:r>
        <w:rPr>
          <w:rFonts w:asciiTheme="minorEastAsia" w:hAnsiTheme="minorEastAsia" w:eastAsiaTheme="minorEastAsia"/>
        </w:rPr>
        <w:tab/>
      </w:r>
      <w:bookmarkStart w:id="90" w:name="_Toc44691169"/>
      <w:bookmarkStart w:id="91" w:name="_Toc44690437"/>
      <w:bookmarkStart w:id="92" w:name="_Toc44690710"/>
      <w:bookmarkStart w:id="93" w:name="_Toc135293352"/>
      <w:bookmarkStart w:id="94" w:name="_Toc44691401"/>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7A95183B">
      <w:pPr>
        <w:topLinePunct/>
        <w:spacing w:line="360" w:lineRule="auto"/>
        <w:jc w:val="left"/>
        <w:rPr>
          <w:rFonts w:ascii="仿宋" w:hAnsi="仿宋" w:eastAsia="仿宋" w:cs="Arial Unicode MS"/>
          <w:b/>
          <w:sz w:val="24"/>
          <w:lang w:val="zh-TW" w:eastAsia="zh-TW"/>
        </w:rPr>
      </w:pPr>
      <w:r>
        <w:rPr>
          <w:rFonts w:hint="eastAsia" w:ascii="仿宋" w:hAnsi="仿宋" w:eastAsia="仿宋" w:cs="Arial Unicode MS"/>
          <w:b/>
          <w:sz w:val="24"/>
          <w:lang w:val="zh-TW"/>
        </w:rPr>
        <w:t>合同编号：【             】</w:t>
      </w:r>
      <w:r>
        <w:rPr>
          <w:rFonts w:hint="eastAsia" w:ascii="仿宋" w:hAnsi="仿宋" w:eastAsia="仿宋" w:cs="Arial Unicode MS"/>
          <w:b/>
          <w:sz w:val="24"/>
          <w:lang w:val="zh-TW" w:eastAsia="zh-TW"/>
        </w:rPr>
        <w:t xml:space="preserve">                      </w:t>
      </w:r>
    </w:p>
    <w:p w14:paraId="5BE0ACD0">
      <w:pPr>
        <w:topLinePunct/>
        <w:spacing w:line="360" w:lineRule="auto"/>
        <w:jc w:val="left"/>
        <w:rPr>
          <w:rFonts w:hint="eastAsia" w:ascii="仿宋" w:hAnsi="仿宋" w:eastAsia="仿宋" w:cs="Arial Unicode MS"/>
          <w:b/>
          <w:sz w:val="24"/>
          <w:lang w:val="zh-TW" w:eastAsia="zh-TW"/>
        </w:rPr>
      </w:pPr>
    </w:p>
    <w:p w14:paraId="4B12331B">
      <w:pPr>
        <w:topLinePunct/>
        <w:spacing w:line="360" w:lineRule="auto"/>
        <w:jc w:val="center"/>
        <w:rPr>
          <w:rFonts w:hint="eastAsia" w:ascii="黑体" w:hAnsi="黑体" w:eastAsia="黑体" w:cs="Arial Unicode MS"/>
          <w:b/>
          <w:sz w:val="32"/>
          <w:szCs w:val="32"/>
          <w:lang w:val="zh-TW" w:eastAsia="zh-TW"/>
        </w:rPr>
      </w:pPr>
      <w:r>
        <w:rPr>
          <w:rFonts w:hint="eastAsia" w:ascii="黑体" w:hAnsi="黑体" w:eastAsia="黑体" w:cs="Arial Unicode MS"/>
          <w:b/>
          <w:sz w:val="32"/>
          <w:szCs w:val="32"/>
          <w:lang w:eastAsia="zh-CN"/>
        </w:rPr>
        <w:t>福海社区医院购置安装呼叫系统、医气、负压机房装置</w:t>
      </w:r>
      <w:r>
        <w:rPr>
          <w:rFonts w:hint="eastAsia" w:ascii="黑体" w:hAnsi="黑体" w:eastAsia="黑体" w:cs="Arial Unicode MS"/>
          <w:b/>
          <w:sz w:val="32"/>
          <w:szCs w:val="32"/>
          <w:lang w:val="zh-TW" w:eastAsia="zh-TW"/>
        </w:rPr>
        <w:t>合同</w:t>
      </w:r>
    </w:p>
    <w:p w14:paraId="4E98867B">
      <w:p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甲方（采购方）：</w:t>
      </w:r>
      <w:r>
        <w:rPr>
          <w:rFonts w:hint="eastAsia" w:ascii="仿宋" w:hAnsi="宋体" w:eastAsia="仿宋" w:cs="宋体"/>
          <w:spacing w:val="-2"/>
          <w:kern w:val="0"/>
          <w:sz w:val="24"/>
          <w:szCs w:val="24"/>
          <w:lang w:bidi="zh-CN"/>
        </w:rPr>
        <w:t>深圳市宝安区福永人民医院</w:t>
      </w:r>
    </w:p>
    <w:p w14:paraId="1349CAC4">
      <w:p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 xml:space="preserve">乙方（供货方）： </w:t>
      </w:r>
    </w:p>
    <w:p w14:paraId="11D81A54">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甲、乙双方根据</w:t>
      </w:r>
      <w:r>
        <w:rPr>
          <w:rFonts w:hint="eastAsia" w:ascii="仿宋" w:hAnsi="仿宋" w:eastAsia="仿宋" w:cs="Arial Unicode MS"/>
          <w:bCs/>
          <w:sz w:val="24"/>
          <w:u w:val="single"/>
        </w:rPr>
        <w:t xml:space="preserve">    </w:t>
      </w:r>
      <w:r>
        <w:rPr>
          <w:rFonts w:hint="eastAsia" w:ascii="仿宋" w:hAnsi="仿宋" w:eastAsia="仿宋" w:cs="Arial Unicode MS"/>
          <w:bCs/>
          <w:sz w:val="24"/>
          <w:u w:val="single"/>
          <w:lang w:eastAsia="zh-CN"/>
        </w:rPr>
        <w:t>福海社区医院购置安装呼叫系统、医气、负压机房装置</w:t>
      </w:r>
      <w:r>
        <w:rPr>
          <w:rFonts w:hint="eastAsia" w:ascii="仿宋" w:hAnsi="仿宋" w:eastAsia="仿宋" w:cs="Arial Unicode MS"/>
          <w:bCs/>
          <w:sz w:val="24"/>
          <w:u w:val="single"/>
        </w:rPr>
        <w:t xml:space="preserve">    </w:t>
      </w:r>
      <w:r>
        <w:rPr>
          <w:rFonts w:hint="eastAsia" w:ascii="仿宋" w:hAnsi="仿宋" w:eastAsia="仿宋" w:cs="Arial Unicode MS"/>
          <w:bCs/>
          <w:sz w:val="24"/>
        </w:rPr>
        <w:t>采购项目（项目编</w:t>
      </w:r>
      <w:r>
        <w:rPr>
          <w:rFonts w:hint="eastAsia" w:ascii="仿宋" w:hAnsi="仿宋" w:eastAsia="仿宋" w:cs="Arial Unicode MS"/>
          <w:bCs/>
          <w:sz w:val="24"/>
          <w:lang w:val="en-US" w:eastAsia="zh-CN"/>
        </w:rPr>
        <w:t>号</w:t>
      </w:r>
      <w:r>
        <w:rPr>
          <w:rFonts w:hint="eastAsia" w:ascii="仿宋" w:hAnsi="仿宋" w:eastAsia="仿宋" w:cs="Arial Unicode MS"/>
          <w:bCs/>
          <w:sz w:val="24"/>
        </w:rPr>
        <w:t>:</w:t>
      </w:r>
      <w:r>
        <w:rPr>
          <w:rFonts w:hint="eastAsia" w:ascii="仿宋" w:hAnsi="仿宋" w:eastAsia="仿宋" w:cs="Arial Unicode MS"/>
          <w:bCs/>
          <w:sz w:val="24"/>
          <w:u w:val="single"/>
          <w:lang w:eastAsia="zh-CN"/>
        </w:rPr>
        <w:t>SZZZ2025-QA0169</w:t>
      </w:r>
      <w:r>
        <w:rPr>
          <w:rFonts w:hint="eastAsia" w:ascii="仿宋" w:hAnsi="仿宋" w:eastAsia="仿宋" w:cs="Arial Unicode MS"/>
          <w:bCs/>
          <w:sz w:val="24"/>
        </w:rPr>
        <w:t>）</w:t>
      </w:r>
      <w:r>
        <w:rPr>
          <w:rStyle w:val="71"/>
          <w:rFonts w:hint="eastAsia" w:ascii="仿宋" w:hAnsi="仿宋" w:eastAsia="仿宋"/>
          <w:sz w:val="24"/>
        </w:rPr>
        <w:t>的招投标结果以及</w:t>
      </w:r>
      <w:r>
        <w:rPr>
          <w:rFonts w:hint="eastAsia" w:ascii="仿宋" w:hAnsi="仿宋" w:eastAsia="仿宋" w:cs="Arial Unicode MS"/>
          <w:bCs/>
          <w:sz w:val="24"/>
        </w:rPr>
        <w:t>招标文件和有关投标文件的要求，确定乙方为该项目的采购供应商。依据《中华人民共和国民法典》及其他有关法律法规，遵循平等、自愿、公平和诚实守信的原则，双方就本采购事项经双方协商一致，订立以下设备采购合同，并共同遵守。</w:t>
      </w:r>
    </w:p>
    <w:p w14:paraId="205BE1B4">
      <w:pPr>
        <w:numPr>
          <w:ilvl w:val="0"/>
          <w:numId w:val="25"/>
        </w:numPr>
        <w:topLinePunct/>
        <w:spacing w:line="360" w:lineRule="auto"/>
        <w:jc w:val="left"/>
        <w:rPr>
          <w:rFonts w:hint="eastAsia" w:ascii="仿宋_GB2312" w:eastAsia="仿宋_GB2312"/>
          <w:sz w:val="24"/>
        </w:rPr>
      </w:pPr>
      <w:r>
        <w:rPr>
          <w:rFonts w:hint="eastAsia" w:ascii="仿宋" w:hAnsi="仿宋" w:eastAsia="仿宋" w:cs="Arial Unicode MS"/>
          <w:b/>
          <w:sz w:val="24"/>
        </w:rPr>
        <w:t>设备及价款（计价单位：人民币：元）</w:t>
      </w:r>
    </w:p>
    <w:tbl>
      <w:tblPr>
        <w:tblStyle w:val="50"/>
        <w:tblW w:w="9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071"/>
        <w:gridCol w:w="1098"/>
        <w:gridCol w:w="1200"/>
        <w:gridCol w:w="1459"/>
        <w:gridCol w:w="1077"/>
        <w:gridCol w:w="1261"/>
        <w:gridCol w:w="1508"/>
      </w:tblGrid>
      <w:tr w14:paraId="46BA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581" w:type="dxa"/>
            <w:tcBorders>
              <w:top w:val="single" w:color="auto" w:sz="4" w:space="0"/>
              <w:left w:val="single" w:color="auto" w:sz="4" w:space="0"/>
              <w:bottom w:val="single" w:color="auto" w:sz="4" w:space="0"/>
              <w:right w:val="single" w:color="auto" w:sz="4" w:space="0"/>
            </w:tcBorders>
            <w:noWrap w:val="0"/>
            <w:vAlign w:val="center"/>
          </w:tcPr>
          <w:p w14:paraId="70C7EDB9">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序号</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1CD60D3B">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设备名称</w:t>
            </w:r>
          </w:p>
        </w:tc>
        <w:tc>
          <w:tcPr>
            <w:tcW w:w="1098" w:type="dxa"/>
            <w:tcBorders>
              <w:top w:val="single" w:color="auto" w:sz="4" w:space="0"/>
              <w:left w:val="single" w:color="auto" w:sz="4" w:space="0"/>
              <w:bottom w:val="single" w:color="auto" w:sz="4" w:space="0"/>
              <w:right w:val="single" w:color="auto" w:sz="4" w:space="0"/>
            </w:tcBorders>
            <w:noWrap w:val="0"/>
            <w:vAlign w:val="center"/>
          </w:tcPr>
          <w:p w14:paraId="69E05564">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厂家</w:t>
            </w:r>
          </w:p>
          <w:p w14:paraId="67E847C9">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产地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CC517B">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品牌</w:t>
            </w:r>
          </w:p>
          <w:p w14:paraId="7E870F7E">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规格型号</w:t>
            </w:r>
          </w:p>
        </w:tc>
        <w:tc>
          <w:tcPr>
            <w:tcW w:w="1459" w:type="dxa"/>
            <w:tcBorders>
              <w:top w:val="single" w:color="auto" w:sz="4" w:space="0"/>
              <w:left w:val="single" w:color="auto" w:sz="4" w:space="0"/>
              <w:bottom w:val="single" w:color="auto" w:sz="4" w:space="0"/>
              <w:right w:val="single" w:color="auto" w:sz="4" w:space="0"/>
            </w:tcBorders>
            <w:noWrap w:val="0"/>
            <w:vAlign w:val="center"/>
          </w:tcPr>
          <w:p w14:paraId="3F686F12">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产品注册证号</w:t>
            </w:r>
          </w:p>
        </w:tc>
        <w:tc>
          <w:tcPr>
            <w:tcW w:w="1077" w:type="dxa"/>
            <w:tcBorders>
              <w:top w:val="single" w:color="auto" w:sz="4" w:space="0"/>
              <w:left w:val="single" w:color="auto" w:sz="4" w:space="0"/>
              <w:bottom w:val="single" w:color="auto" w:sz="4" w:space="0"/>
              <w:right w:val="single" w:color="auto" w:sz="4" w:space="0"/>
            </w:tcBorders>
            <w:noWrap w:val="0"/>
            <w:vAlign w:val="center"/>
          </w:tcPr>
          <w:p w14:paraId="6DCBA1B2">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数量</w:t>
            </w:r>
          </w:p>
          <w:p w14:paraId="349F788E">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（单位）</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CC62EBD">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单价</w:t>
            </w:r>
          </w:p>
          <w:p w14:paraId="386F7F5C">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（含税）</w:t>
            </w:r>
          </w:p>
        </w:tc>
        <w:tc>
          <w:tcPr>
            <w:tcW w:w="1508" w:type="dxa"/>
            <w:tcBorders>
              <w:top w:val="single" w:color="auto" w:sz="4" w:space="0"/>
              <w:left w:val="single" w:color="auto" w:sz="4" w:space="0"/>
              <w:bottom w:val="single" w:color="auto" w:sz="4" w:space="0"/>
              <w:right w:val="single" w:color="auto" w:sz="4" w:space="0"/>
            </w:tcBorders>
            <w:noWrap w:val="0"/>
            <w:vAlign w:val="center"/>
          </w:tcPr>
          <w:p w14:paraId="7F094CDE">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总价</w:t>
            </w:r>
          </w:p>
          <w:p w14:paraId="599956C2">
            <w:pPr>
              <w:topLinePunct/>
              <w:spacing w:line="360" w:lineRule="auto"/>
              <w:jc w:val="center"/>
              <w:rPr>
                <w:rFonts w:ascii="仿宋" w:hAnsi="仿宋" w:eastAsia="仿宋" w:cs="Arial Unicode MS"/>
                <w:bCs/>
                <w:sz w:val="24"/>
              </w:rPr>
            </w:pPr>
            <w:r>
              <w:rPr>
                <w:rFonts w:hint="eastAsia" w:ascii="仿宋" w:hAnsi="仿宋" w:eastAsia="仿宋" w:cs="Arial Unicode MS"/>
                <w:bCs/>
                <w:sz w:val="24"/>
              </w:rPr>
              <w:t>（含税）</w:t>
            </w:r>
          </w:p>
        </w:tc>
      </w:tr>
      <w:tr w14:paraId="3FEF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81" w:type="dxa"/>
            <w:tcBorders>
              <w:top w:val="single" w:color="auto" w:sz="4" w:space="0"/>
              <w:left w:val="single" w:color="auto" w:sz="4" w:space="0"/>
              <w:bottom w:val="single" w:color="auto" w:sz="4" w:space="0"/>
              <w:right w:val="single" w:color="auto" w:sz="4" w:space="0"/>
            </w:tcBorders>
            <w:noWrap w:val="0"/>
            <w:vAlign w:val="top"/>
          </w:tcPr>
          <w:p w14:paraId="7EB8CFF1">
            <w:pPr>
              <w:topLinePunct/>
              <w:spacing w:line="360" w:lineRule="auto"/>
              <w:jc w:val="center"/>
              <w:rPr>
                <w:rFonts w:hint="eastAsia" w:ascii="仿宋" w:hAnsi="仿宋" w:eastAsia="仿宋" w:cs="Arial Unicode MS"/>
                <w:bCs/>
                <w:sz w:val="24"/>
                <w:lang w:val="en-US" w:eastAsia="zh-CN"/>
              </w:rPr>
            </w:pPr>
            <w:r>
              <w:rPr>
                <w:rFonts w:hint="eastAsia" w:ascii="仿宋" w:hAnsi="仿宋" w:eastAsia="仿宋" w:cs="Arial Unicode MS"/>
                <w:bCs/>
                <w:sz w:val="24"/>
                <w:lang w:val="en-US" w:eastAsia="zh-CN"/>
              </w:rPr>
              <w:t>1</w:t>
            </w:r>
          </w:p>
        </w:tc>
        <w:tc>
          <w:tcPr>
            <w:tcW w:w="1071" w:type="dxa"/>
            <w:tcBorders>
              <w:top w:val="single" w:color="auto" w:sz="4" w:space="0"/>
              <w:left w:val="single" w:color="auto" w:sz="4" w:space="0"/>
              <w:bottom w:val="single" w:color="auto" w:sz="4" w:space="0"/>
              <w:right w:val="single" w:color="auto" w:sz="4" w:space="0"/>
            </w:tcBorders>
            <w:noWrap w:val="0"/>
            <w:vAlign w:val="top"/>
          </w:tcPr>
          <w:p w14:paraId="37C5EF18">
            <w:pPr>
              <w:topLinePunct/>
              <w:spacing w:line="360" w:lineRule="auto"/>
              <w:jc w:val="center"/>
              <w:rPr>
                <w:rFonts w:ascii="仿宋" w:hAnsi="仿宋" w:eastAsia="仿宋" w:cs="Arial Unicode MS"/>
                <w:bCs/>
                <w:sz w:val="24"/>
              </w:rPr>
            </w:pPr>
          </w:p>
        </w:tc>
        <w:tc>
          <w:tcPr>
            <w:tcW w:w="1098" w:type="dxa"/>
            <w:tcBorders>
              <w:top w:val="single" w:color="auto" w:sz="4" w:space="0"/>
              <w:left w:val="single" w:color="auto" w:sz="4" w:space="0"/>
              <w:bottom w:val="single" w:color="auto" w:sz="4" w:space="0"/>
              <w:right w:val="single" w:color="auto" w:sz="4" w:space="0"/>
            </w:tcBorders>
            <w:noWrap w:val="0"/>
            <w:vAlign w:val="top"/>
          </w:tcPr>
          <w:p w14:paraId="1CCF6BCA">
            <w:pPr>
              <w:topLinePunct/>
              <w:spacing w:line="360" w:lineRule="auto"/>
              <w:jc w:val="center"/>
              <w:rPr>
                <w:rFonts w:ascii="仿宋" w:hAnsi="仿宋" w:eastAsia="仿宋" w:cs="Arial Unicode MS"/>
                <w:bCs/>
                <w:sz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16C08C7">
            <w:pPr>
              <w:topLinePunct/>
              <w:spacing w:line="360" w:lineRule="auto"/>
              <w:jc w:val="center"/>
              <w:rPr>
                <w:rFonts w:ascii="仿宋" w:hAnsi="仿宋" w:eastAsia="仿宋" w:cs="Arial Unicode MS"/>
                <w:bCs/>
                <w:sz w:val="24"/>
              </w:rPr>
            </w:pPr>
          </w:p>
        </w:tc>
        <w:tc>
          <w:tcPr>
            <w:tcW w:w="1459" w:type="dxa"/>
            <w:tcBorders>
              <w:top w:val="single" w:color="auto" w:sz="4" w:space="0"/>
              <w:left w:val="single" w:color="auto" w:sz="4" w:space="0"/>
              <w:bottom w:val="single" w:color="auto" w:sz="4" w:space="0"/>
              <w:right w:val="single" w:color="auto" w:sz="4" w:space="0"/>
            </w:tcBorders>
            <w:noWrap w:val="0"/>
            <w:vAlign w:val="top"/>
          </w:tcPr>
          <w:p w14:paraId="46A21DDE">
            <w:pPr>
              <w:topLinePunct/>
              <w:spacing w:line="360" w:lineRule="auto"/>
              <w:jc w:val="center"/>
              <w:rPr>
                <w:rFonts w:ascii="仿宋" w:hAnsi="仿宋" w:eastAsia="仿宋" w:cs="Arial Unicode MS"/>
                <w:bCs/>
                <w:sz w:val="24"/>
              </w:rPr>
            </w:pPr>
          </w:p>
        </w:tc>
        <w:tc>
          <w:tcPr>
            <w:tcW w:w="1077" w:type="dxa"/>
            <w:tcBorders>
              <w:top w:val="single" w:color="auto" w:sz="4" w:space="0"/>
              <w:left w:val="single" w:color="auto" w:sz="4" w:space="0"/>
              <w:bottom w:val="single" w:color="auto" w:sz="4" w:space="0"/>
              <w:right w:val="single" w:color="auto" w:sz="4" w:space="0"/>
            </w:tcBorders>
            <w:noWrap w:val="0"/>
            <w:vAlign w:val="center"/>
          </w:tcPr>
          <w:p w14:paraId="51553C6F">
            <w:pPr>
              <w:pStyle w:val="105"/>
              <w:jc w:val="center"/>
              <w:rPr>
                <w:rFonts w:hint="eastAsia" w:ascii="仿宋" w:hAnsi="宋体" w:eastAsia="仿宋" w:cs="宋体"/>
                <w:spacing w:val="-2"/>
                <w:kern w:val="0"/>
                <w:sz w:val="24"/>
                <w:szCs w:val="24"/>
                <w:lang w:val="zh-CN" w:bidi="zh-CN"/>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B0A8306">
            <w:pPr>
              <w:pStyle w:val="105"/>
              <w:jc w:val="center"/>
              <w:rPr>
                <w:rFonts w:hint="eastAsia" w:ascii="仿宋" w:hAnsi="宋体" w:eastAsia="仿宋" w:cs="宋体"/>
                <w:spacing w:val="-2"/>
                <w:kern w:val="0"/>
                <w:sz w:val="24"/>
                <w:szCs w:val="24"/>
                <w:lang w:val="zh-CN" w:bidi="zh-CN"/>
              </w:rPr>
            </w:pPr>
          </w:p>
        </w:tc>
        <w:tc>
          <w:tcPr>
            <w:tcW w:w="1508" w:type="dxa"/>
            <w:tcBorders>
              <w:top w:val="single" w:color="auto" w:sz="4" w:space="0"/>
              <w:left w:val="single" w:color="auto" w:sz="4" w:space="0"/>
              <w:bottom w:val="single" w:color="auto" w:sz="4" w:space="0"/>
              <w:right w:val="single" w:color="auto" w:sz="4" w:space="0"/>
            </w:tcBorders>
            <w:noWrap w:val="0"/>
            <w:vAlign w:val="center"/>
          </w:tcPr>
          <w:p w14:paraId="14947541">
            <w:pPr>
              <w:pStyle w:val="105"/>
              <w:jc w:val="center"/>
              <w:rPr>
                <w:rFonts w:hint="eastAsia" w:ascii="仿宋" w:hAnsi="宋体" w:eastAsia="仿宋" w:cs="宋体"/>
                <w:spacing w:val="-2"/>
                <w:kern w:val="0"/>
                <w:sz w:val="24"/>
                <w:szCs w:val="24"/>
                <w:lang w:val="zh-CN" w:eastAsia="en-US" w:bidi="zh-CN"/>
              </w:rPr>
            </w:pPr>
          </w:p>
        </w:tc>
      </w:tr>
      <w:tr w14:paraId="1572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81" w:type="dxa"/>
            <w:tcBorders>
              <w:top w:val="single" w:color="auto" w:sz="4" w:space="0"/>
              <w:left w:val="single" w:color="auto" w:sz="4" w:space="0"/>
              <w:bottom w:val="single" w:color="auto" w:sz="4" w:space="0"/>
              <w:right w:val="single" w:color="auto" w:sz="4" w:space="0"/>
            </w:tcBorders>
            <w:noWrap w:val="0"/>
            <w:vAlign w:val="top"/>
          </w:tcPr>
          <w:p w14:paraId="40744F65">
            <w:pPr>
              <w:topLinePunct/>
              <w:spacing w:line="360" w:lineRule="auto"/>
              <w:jc w:val="center"/>
              <w:rPr>
                <w:rFonts w:hint="eastAsia" w:ascii="仿宋" w:hAnsi="仿宋" w:eastAsia="仿宋" w:cs="Arial Unicode MS"/>
                <w:bCs/>
                <w:sz w:val="24"/>
                <w:lang w:val="en-US" w:eastAsia="zh-CN"/>
              </w:rPr>
            </w:pPr>
            <w:r>
              <w:rPr>
                <w:rFonts w:hint="eastAsia" w:ascii="仿宋" w:hAnsi="仿宋" w:eastAsia="仿宋" w:cs="Arial Unicode MS"/>
                <w:bCs/>
                <w:sz w:val="24"/>
                <w:lang w:val="en-US" w:eastAsia="zh-CN"/>
              </w:rPr>
              <w:t>2</w:t>
            </w:r>
          </w:p>
        </w:tc>
        <w:tc>
          <w:tcPr>
            <w:tcW w:w="1071" w:type="dxa"/>
            <w:tcBorders>
              <w:top w:val="single" w:color="auto" w:sz="4" w:space="0"/>
              <w:left w:val="single" w:color="auto" w:sz="4" w:space="0"/>
              <w:bottom w:val="single" w:color="auto" w:sz="4" w:space="0"/>
              <w:right w:val="single" w:color="auto" w:sz="4" w:space="0"/>
            </w:tcBorders>
            <w:noWrap w:val="0"/>
            <w:vAlign w:val="top"/>
          </w:tcPr>
          <w:p w14:paraId="64934EC2">
            <w:pPr>
              <w:topLinePunct/>
              <w:spacing w:line="360" w:lineRule="auto"/>
              <w:jc w:val="center"/>
              <w:rPr>
                <w:rFonts w:ascii="仿宋" w:hAnsi="仿宋" w:eastAsia="仿宋" w:cs="Arial Unicode MS"/>
                <w:bCs/>
                <w:sz w:val="24"/>
              </w:rPr>
            </w:pPr>
          </w:p>
        </w:tc>
        <w:tc>
          <w:tcPr>
            <w:tcW w:w="1098" w:type="dxa"/>
            <w:tcBorders>
              <w:top w:val="single" w:color="auto" w:sz="4" w:space="0"/>
              <w:left w:val="single" w:color="auto" w:sz="4" w:space="0"/>
              <w:bottom w:val="single" w:color="auto" w:sz="4" w:space="0"/>
              <w:right w:val="single" w:color="auto" w:sz="4" w:space="0"/>
            </w:tcBorders>
            <w:noWrap w:val="0"/>
            <w:vAlign w:val="top"/>
          </w:tcPr>
          <w:p w14:paraId="4EA16B18">
            <w:pPr>
              <w:topLinePunct/>
              <w:spacing w:line="360" w:lineRule="auto"/>
              <w:jc w:val="center"/>
              <w:rPr>
                <w:rFonts w:ascii="仿宋" w:hAnsi="仿宋" w:eastAsia="仿宋" w:cs="Arial Unicode MS"/>
                <w:bCs/>
                <w:sz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0C707ECD">
            <w:pPr>
              <w:topLinePunct/>
              <w:spacing w:line="360" w:lineRule="auto"/>
              <w:jc w:val="center"/>
              <w:rPr>
                <w:rFonts w:ascii="仿宋" w:hAnsi="仿宋" w:eastAsia="仿宋" w:cs="Arial Unicode MS"/>
                <w:bCs/>
                <w:sz w:val="24"/>
              </w:rPr>
            </w:pPr>
          </w:p>
        </w:tc>
        <w:tc>
          <w:tcPr>
            <w:tcW w:w="1459" w:type="dxa"/>
            <w:tcBorders>
              <w:top w:val="single" w:color="auto" w:sz="4" w:space="0"/>
              <w:left w:val="single" w:color="auto" w:sz="4" w:space="0"/>
              <w:bottom w:val="single" w:color="auto" w:sz="4" w:space="0"/>
              <w:right w:val="single" w:color="auto" w:sz="4" w:space="0"/>
            </w:tcBorders>
            <w:noWrap w:val="0"/>
            <w:vAlign w:val="top"/>
          </w:tcPr>
          <w:p w14:paraId="69296A4B">
            <w:pPr>
              <w:topLinePunct/>
              <w:spacing w:line="360" w:lineRule="auto"/>
              <w:jc w:val="center"/>
              <w:rPr>
                <w:rFonts w:ascii="仿宋" w:hAnsi="仿宋" w:eastAsia="仿宋" w:cs="Arial Unicode MS"/>
                <w:bCs/>
                <w:sz w:val="24"/>
              </w:rPr>
            </w:pPr>
          </w:p>
        </w:tc>
        <w:tc>
          <w:tcPr>
            <w:tcW w:w="1077" w:type="dxa"/>
            <w:tcBorders>
              <w:top w:val="single" w:color="auto" w:sz="4" w:space="0"/>
              <w:left w:val="single" w:color="auto" w:sz="4" w:space="0"/>
              <w:bottom w:val="single" w:color="auto" w:sz="4" w:space="0"/>
              <w:right w:val="single" w:color="auto" w:sz="4" w:space="0"/>
            </w:tcBorders>
            <w:noWrap w:val="0"/>
            <w:vAlign w:val="center"/>
          </w:tcPr>
          <w:p w14:paraId="28FE7FF4">
            <w:pPr>
              <w:pStyle w:val="105"/>
              <w:jc w:val="center"/>
              <w:rPr>
                <w:rFonts w:hint="eastAsia" w:ascii="仿宋" w:hAnsi="宋体" w:eastAsia="仿宋" w:cs="宋体"/>
                <w:spacing w:val="-2"/>
                <w:kern w:val="0"/>
                <w:sz w:val="24"/>
                <w:szCs w:val="24"/>
                <w:lang w:val="zh-CN" w:bidi="zh-CN"/>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5DB773CA">
            <w:pPr>
              <w:pStyle w:val="105"/>
              <w:jc w:val="center"/>
              <w:rPr>
                <w:rFonts w:hint="eastAsia" w:ascii="仿宋" w:hAnsi="宋体" w:eastAsia="仿宋" w:cs="宋体"/>
                <w:spacing w:val="-2"/>
                <w:kern w:val="0"/>
                <w:sz w:val="24"/>
                <w:szCs w:val="24"/>
                <w:lang w:val="zh-CN" w:bidi="zh-CN"/>
              </w:rPr>
            </w:pPr>
          </w:p>
        </w:tc>
        <w:tc>
          <w:tcPr>
            <w:tcW w:w="1508" w:type="dxa"/>
            <w:tcBorders>
              <w:top w:val="single" w:color="auto" w:sz="4" w:space="0"/>
              <w:left w:val="single" w:color="auto" w:sz="4" w:space="0"/>
              <w:bottom w:val="single" w:color="auto" w:sz="4" w:space="0"/>
              <w:right w:val="single" w:color="auto" w:sz="4" w:space="0"/>
            </w:tcBorders>
            <w:noWrap w:val="0"/>
            <w:vAlign w:val="center"/>
          </w:tcPr>
          <w:p w14:paraId="4A784EAC">
            <w:pPr>
              <w:pStyle w:val="105"/>
              <w:jc w:val="center"/>
              <w:rPr>
                <w:rFonts w:hint="eastAsia" w:ascii="仿宋" w:hAnsi="宋体" w:eastAsia="仿宋" w:cs="宋体"/>
                <w:spacing w:val="-2"/>
                <w:kern w:val="0"/>
                <w:sz w:val="24"/>
                <w:szCs w:val="24"/>
                <w:lang w:val="zh-CN" w:eastAsia="en-US" w:bidi="zh-CN"/>
              </w:rPr>
            </w:pPr>
          </w:p>
        </w:tc>
      </w:tr>
      <w:tr w14:paraId="1E82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81" w:type="dxa"/>
            <w:tcBorders>
              <w:top w:val="single" w:color="auto" w:sz="4" w:space="0"/>
              <w:left w:val="single" w:color="auto" w:sz="4" w:space="0"/>
              <w:bottom w:val="single" w:color="auto" w:sz="4" w:space="0"/>
              <w:right w:val="single" w:color="auto" w:sz="4" w:space="0"/>
            </w:tcBorders>
            <w:noWrap w:val="0"/>
            <w:vAlign w:val="top"/>
          </w:tcPr>
          <w:p w14:paraId="51D31AD9">
            <w:pPr>
              <w:topLinePunct/>
              <w:spacing w:line="360" w:lineRule="auto"/>
              <w:jc w:val="center"/>
              <w:rPr>
                <w:rFonts w:hint="default" w:ascii="仿宋" w:hAnsi="仿宋" w:eastAsia="仿宋" w:cs="Arial Unicode MS"/>
                <w:bCs/>
                <w:sz w:val="24"/>
                <w:lang w:val="en-US" w:eastAsia="zh-CN"/>
              </w:rPr>
            </w:pPr>
            <w:r>
              <w:rPr>
                <w:rFonts w:hint="eastAsia" w:ascii="仿宋" w:hAnsi="仿宋" w:eastAsia="仿宋" w:cs="Arial Unicode MS"/>
                <w:bCs/>
                <w:sz w:val="24"/>
                <w:lang w:val="en-US" w:eastAsia="zh-CN"/>
              </w:rPr>
              <w:t>...</w:t>
            </w:r>
          </w:p>
        </w:tc>
        <w:tc>
          <w:tcPr>
            <w:tcW w:w="1071" w:type="dxa"/>
            <w:tcBorders>
              <w:top w:val="single" w:color="auto" w:sz="4" w:space="0"/>
              <w:left w:val="single" w:color="auto" w:sz="4" w:space="0"/>
              <w:bottom w:val="single" w:color="auto" w:sz="4" w:space="0"/>
              <w:right w:val="single" w:color="auto" w:sz="4" w:space="0"/>
            </w:tcBorders>
            <w:noWrap w:val="0"/>
            <w:vAlign w:val="top"/>
          </w:tcPr>
          <w:p w14:paraId="6636677D">
            <w:pPr>
              <w:topLinePunct/>
              <w:spacing w:line="360" w:lineRule="auto"/>
              <w:jc w:val="center"/>
              <w:rPr>
                <w:rFonts w:ascii="仿宋" w:hAnsi="仿宋" w:eastAsia="仿宋" w:cs="Arial Unicode MS"/>
                <w:bCs/>
                <w:sz w:val="24"/>
              </w:rPr>
            </w:pPr>
          </w:p>
        </w:tc>
        <w:tc>
          <w:tcPr>
            <w:tcW w:w="1098" w:type="dxa"/>
            <w:tcBorders>
              <w:top w:val="single" w:color="auto" w:sz="4" w:space="0"/>
              <w:left w:val="single" w:color="auto" w:sz="4" w:space="0"/>
              <w:bottom w:val="single" w:color="auto" w:sz="4" w:space="0"/>
              <w:right w:val="single" w:color="auto" w:sz="4" w:space="0"/>
            </w:tcBorders>
            <w:noWrap w:val="0"/>
            <w:vAlign w:val="top"/>
          </w:tcPr>
          <w:p w14:paraId="09AD0E2D">
            <w:pPr>
              <w:topLinePunct/>
              <w:spacing w:line="360" w:lineRule="auto"/>
              <w:jc w:val="center"/>
              <w:rPr>
                <w:rFonts w:ascii="仿宋" w:hAnsi="仿宋" w:eastAsia="仿宋" w:cs="Arial Unicode MS"/>
                <w:bCs/>
                <w:sz w:val="24"/>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3463CFF6">
            <w:pPr>
              <w:topLinePunct/>
              <w:spacing w:line="360" w:lineRule="auto"/>
              <w:jc w:val="center"/>
              <w:rPr>
                <w:rFonts w:ascii="仿宋" w:hAnsi="仿宋" w:eastAsia="仿宋" w:cs="Arial Unicode MS"/>
                <w:bCs/>
                <w:sz w:val="24"/>
              </w:rPr>
            </w:pPr>
          </w:p>
        </w:tc>
        <w:tc>
          <w:tcPr>
            <w:tcW w:w="1459" w:type="dxa"/>
            <w:tcBorders>
              <w:top w:val="single" w:color="auto" w:sz="4" w:space="0"/>
              <w:left w:val="single" w:color="auto" w:sz="4" w:space="0"/>
              <w:bottom w:val="single" w:color="auto" w:sz="4" w:space="0"/>
              <w:right w:val="single" w:color="auto" w:sz="4" w:space="0"/>
            </w:tcBorders>
            <w:noWrap w:val="0"/>
            <w:vAlign w:val="top"/>
          </w:tcPr>
          <w:p w14:paraId="15D11EF5">
            <w:pPr>
              <w:topLinePunct/>
              <w:spacing w:line="360" w:lineRule="auto"/>
              <w:jc w:val="center"/>
              <w:rPr>
                <w:rFonts w:ascii="仿宋" w:hAnsi="仿宋" w:eastAsia="仿宋" w:cs="Arial Unicode MS"/>
                <w:bCs/>
                <w:sz w:val="24"/>
              </w:rPr>
            </w:pPr>
          </w:p>
        </w:tc>
        <w:tc>
          <w:tcPr>
            <w:tcW w:w="1077" w:type="dxa"/>
            <w:tcBorders>
              <w:top w:val="single" w:color="auto" w:sz="4" w:space="0"/>
              <w:left w:val="single" w:color="auto" w:sz="4" w:space="0"/>
              <w:bottom w:val="single" w:color="auto" w:sz="4" w:space="0"/>
              <w:right w:val="single" w:color="auto" w:sz="4" w:space="0"/>
            </w:tcBorders>
            <w:noWrap w:val="0"/>
            <w:vAlign w:val="center"/>
          </w:tcPr>
          <w:p w14:paraId="61EC46FB">
            <w:pPr>
              <w:pStyle w:val="105"/>
              <w:jc w:val="center"/>
              <w:rPr>
                <w:rFonts w:hint="eastAsia" w:ascii="仿宋" w:hAnsi="宋体" w:eastAsia="仿宋" w:cs="宋体"/>
                <w:spacing w:val="-2"/>
                <w:kern w:val="0"/>
                <w:sz w:val="24"/>
                <w:szCs w:val="24"/>
                <w:lang w:val="zh-CN" w:bidi="zh-CN"/>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0A90040">
            <w:pPr>
              <w:pStyle w:val="105"/>
              <w:jc w:val="center"/>
              <w:rPr>
                <w:rFonts w:hint="eastAsia" w:ascii="仿宋" w:hAnsi="宋体" w:eastAsia="仿宋" w:cs="宋体"/>
                <w:spacing w:val="-2"/>
                <w:kern w:val="0"/>
                <w:sz w:val="24"/>
                <w:szCs w:val="24"/>
                <w:lang w:val="zh-CN" w:bidi="zh-CN"/>
              </w:rPr>
            </w:pPr>
          </w:p>
        </w:tc>
        <w:tc>
          <w:tcPr>
            <w:tcW w:w="1508" w:type="dxa"/>
            <w:tcBorders>
              <w:top w:val="single" w:color="auto" w:sz="4" w:space="0"/>
              <w:left w:val="single" w:color="auto" w:sz="4" w:space="0"/>
              <w:bottom w:val="single" w:color="auto" w:sz="4" w:space="0"/>
              <w:right w:val="single" w:color="auto" w:sz="4" w:space="0"/>
            </w:tcBorders>
            <w:noWrap w:val="0"/>
            <w:vAlign w:val="center"/>
          </w:tcPr>
          <w:p w14:paraId="35E94A12">
            <w:pPr>
              <w:pStyle w:val="105"/>
              <w:jc w:val="center"/>
              <w:rPr>
                <w:rFonts w:hint="eastAsia" w:ascii="仿宋" w:hAnsi="宋体" w:eastAsia="仿宋" w:cs="宋体"/>
                <w:spacing w:val="-2"/>
                <w:kern w:val="0"/>
                <w:sz w:val="24"/>
                <w:szCs w:val="24"/>
                <w:lang w:val="zh-CN" w:eastAsia="en-US" w:bidi="zh-CN"/>
              </w:rPr>
            </w:pPr>
          </w:p>
        </w:tc>
      </w:tr>
      <w:tr w14:paraId="6F0F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255" w:type="dxa"/>
            <w:gridSpan w:val="8"/>
            <w:tcBorders>
              <w:top w:val="single" w:color="auto" w:sz="4" w:space="0"/>
              <w:left w:val="single" w:color="auto" w:sz="4" w:space="0"/>
              <w:bottom w:val="single" w:color="auto" w:sz="4" w:space="0"/>
              <w:right w:val="single" w:color="auto" w:sz="4" w:space="0"/>
            </w:tcBorders>
            <w:noWrap w:val="0"/>
            <w:vAlign w:val="top"/>
          </w:tcPr>
          <w:p w14:paraId="24DBB59F">
            <w:pPr>
              <w:spacing w:line="360" w:lineRule="auto"/>
              <w:jc w:val="left"/>
              <w:rPr>
                <w:rFonts w:ascii="仿宋" w:hAnsi="仿宋" w:eastAsia="仿宋"/>
                <w:sz w:val="24"/>
              </w:rPr>
            </w:pPr>
            <w:r>
              <w:rPr>
                <w:rFonts w:hint="eastAsia" w:ascii="仿宋" w:hAnsi="仿宋" w:eastAsia="仿宋"/>
                <w:sz w:val="24"/>
              </w:rPr>
              <w:t xml:space="preserve">合同总价：（大写）          </w:t>
            </w:r>
            <w:r>
              <w:rPr>
                <w:rFonts w:hint="eastAsia" w:ascii="华文仿宋" w:hAnsi="华文仿宋" w:eastAsia="仿宋"/>
                <w:sz w:val="24"/>
              </w:rPr>
              <w:t>¥（小写）</w:t>
            </w:r>
            <w:r>
              <w:rPr>
                <w:rFonts w:hint="eastAsia" w:ascii="仿宋" w:hAnsi="仿宋" w:eastAsia="仿宋"/>
                <w:sz w:val="24"/>
              </w:rPr>
              <w:t xml:space="preserve">          元</w:t>
            </w:r>
          </w:p>
        </w:tc>
      </w:tr>
      <w:tr w14:paraId="6500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5" w:type="dxa"/>
            <w:gridSpan w:val="8"/>
            <w:tcBorders>
              <w:top w:val="single" w:color="auto" w:sz="4" w:space="0"/>
              <w:left w:val="single" w:color="auto" w:sz="4" w:space="0"/>
              <w:bottom w:val="single" w:color="auto" w:sz="4" w:space="0"/>
              <w:right w:val="single" w:color="auto" w:sz="4" w:space="0"/>
            </w:tcBorders>
            <w:noWrap w:val="0"/>
            <w:vAlign w:val="top"/>
          </w:tcPr>
          <w:p w14:paraId="0A68D5C5">
            <w:pPr>
              <w:spacing w:line="360" w:lineRule="auto"/>
              <w:jc w:val="left"/>
              <w:rPr>
                <w:rFonts w:ascii="仿宋" w:hAnsi="仿宋" w:eastAsia="仿宋"/>
                <w:sz w:val="24"/>
              </w:rPr>
            </w:pPr>
            <w:r>
              <w:rPr>
                <w:rFonts w:hint="eastAsia" w:ascii="仿宋" w:hAnsi="仿宋" w:eastAsia="仿宋"/>
                <w:sz w:val="24"/>
              </w:rPr>
              <w:t>备注：产品配置清单详见附件</w:t>
            </w:r>
          </w:p>
        </w:tc>
      </w:tr>
    </w:tbl>
    <w:p w14:paraId="58246E31">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结算币种为人民币，合同总金额是原材料和配件费、深化设计、生产加工、安装、调试，通过有关主管部门的验收，运至合同指定地点的包装、运输、装卸、安装，技术培训，检查、检验，及保修、利润、风险金、国家规定的各项税费及验收合格之前及保修期间包括备品备件发生的所有含税费用，除此之外，甲方不需要向乙方支付其他任何费用。项目结算时不做任何单价或费用调整。</w:t>
      </w:r>
    </w:p>
    <w:p w14:paraId="0FE482E3">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质量保证</w:t>
      </w:r>
    </w:p>
    <w:p w14:paraId="6C0CFDA3">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保证合法享有销售产品的所有权或处置权，产品上不存在任何权利上的瑕疵。乙方所提供的产品均为未拆封、未使用的全新产品（包括配件、附件、软件）。乙方应保证本合同产品无设计、材料和制造工艺方面的瑕疵，符合国际标准，国家质量标准和双方约定的标准。</w:t>
      </w:r>
    </w:p>
    <w:p w14:paraId="1E1ECB49">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包装与运输</w:t>
      </w:r>
    </w:p>
    <w:p w14:paraId="1BF037BA">
      <w:pPr>
        <w:numPr>
          <w:ilvl w:val="0"/>
          <w:numId w:val="26"/>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包装方式按照原厂出厂原标准，外包装到货时应完好无损，包装费用由乙方承担，外包装破损时甲方有权拒绝收货。乙方承担由于其包装或其防护措施不妥而引起的货物锈蚀、损坏和丢失等任何损失，并承担因此而发生的违约责任。</w:t>
      </w:r>
    </w:p>
    <w:p w14:paraId="3D75CB24">
      <w:pPr>
        <w:numPr>
          <w:ilvl w:val="0"/>
          <w:numId w:val="26"/>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乙方负责送货上门，乙方应确保产品运输过程的安全性。乙方将货物运至双方约定的交付地点，卸载、摆放至甲方指定的位置，并办理相关交货手续，运费及包装清理费由乙方承担。</w:t>
      </w:r>
    </w:p>
    <w:p w14:paraId="494D8702">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产品交付</w:t>
      </w:r>
    </w:p>
    <w:p w14:paraId="6825C4CA">
      <w:pPr>
        <w:numPr>
          <w:ilvl w:val="0"/>
          <w:numId w:val="27"/>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乙方交货时间：本合同签订之日起</w:t>
      </w:r>
      <w:r>
        <w:rPr>
          <w:rFonts w:hint="eastAsia" w:ascii="仿宋" w:hAnsi="仿宋" w:eastAsia="仿宋" w:cs="Arial Unicode MS"/>
          <w:bCs/>
          <w:sz w:val="24"/>
          <w:u w:val="single"/>
          <w:lang w:val="en-US" w:eastAsia="zh-CN"/>
        </w:rPr>
        <w:t>9</w:t>
      </w:r>
      <w:r>
        <w:rPr>
          <w:rFonts w:hint="eastAsia" w:ascii="仿宋" w:hAnsi="仿宋" w:eastAsia="仿宋" w:cs="Arial Unicode MS"/>
          <w:bCs/>
          <w:sz w:val="24"/>
          <w:u w:val="single"/>
        </w:rPr>
        <w:t>0</w:t>
      </w:r>
      <w:r>
        <w:rPr>
          <w:rFonts w:hint="eastAsia" w:ascii="仿宋" w:hAnsi="仿宋" w:eastAsia="仿宋"/>
          <w:sz w:val="24"/>
          <w:szCs w:val="24"/>
        </w:rPr>
        <w:t>个日历日内交货</w:t>
      </w:r>
      <w:r>
        <w:rPr>
          <w:rFonts w:hint="eastAsia" w:ascii="仿宋" w:hAnsi="仿宋" w:eastAsia="仿宋" w:cs="Arial Unicode MS"/>
          <w:bCs/>
          <w:sz w:val="24"/>
        </w:rPr>
        <w:t>。</w:t>
      </w:r>
    </w:p>
    <w:p w14:paraId="5FC05EEB">
      <w:pPr>
        <w:numPr>
          <w:ilvl w:val="0"/>
          <w:numId w:val="27"/>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乙方交货地点：</w:t>
      </w:r>
      <w:r>
        <w:rPr>
          <w:rFonts w:hint="eastAsia" w:ascii="仿宋" w:hAnsi="仿宋" w:eastAsia="仿宋"/>
          <w:sz w:val="24"/>
        </w:rPr>
        <w:t>运输及卸货至甲方指定地点。</w:t>
      </w:r>
    </w:p>
    <w:p w14:paraId="30BB7899">
      <w:pPr>
        <w:numPr>
          <w:ilvl w:val="0"/>
          <w:numId w:val="27"/>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本合同项下所有货物在甲方验收前，因毁损、灭失造成的一切损失，均由乙方自行承担。</w:t>
      </w:r>
    </w:p>
    <w:p w14:paraId="54737B28">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产品安装及验收</w:t>
      </w:r>
    </w:p>
    <w:p w14:paraId="2F545B57">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货到安装，现场验收。中标人须向采购人提供全套的材料、设备配置清单、检验产品合格证、使用说明书及其他技术资料，进口设备还需要提供正常报关证明和商检合格证明。中标人负责通知厂家派有经验的技术人员到现场进行安装、调试，直到设备正常使用。因甲方现场不具备安装调试条件导致工期延误时，安装调试完工日期应当顺延，具体顺延期限由甲乙双方商定。</w:t>
      </w:r>
    </w:p>
    <w:p w14:paraId="27E258E6">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color w:val="000000"/>
          <w:sz w:val="24"/>
          <w:u w:val="none" w:color="000000"/>
        </w:rPr>
        <w:t>设备安装调试正常使用后20</w:t>
      </w:r>
      <w:r>
        <w:rPr>
          <w:rFonts w:ascii="仿宋" w:hAnsi="仿宋" w:eastAsia="仿宋" w:cs="Arial Unicode MS"/>
          <w:bCs/>
          <w:color w:val="000000"/>
          <w:sz w:val="24"/>
          <w:u w:val="none" w:color="000000"/>
        </w:rPr>
        <w:t>个工作日内进行验收</w:t>
      </w:r>
      <w:r>
        <w:rPr>
          <w:rFonts w:hint="eastAsia" w:ascii="仿宋" w:hAnsi="仿宋" w:eastAsia="仿宋" w:cs="Arial Unicode MS"/>
          <w:bCs/>
          <w:color w:val="000000"/>
          <w:sz w:val="24"/>
          <w:u w:val="none" w:color="000000"/>
        </w:rPr>
        <w:t>，由甲方使用科室、设备科、厂家代表、乙方等代表在场进行验收</w:t>
      </w:r>
      <w:r>
        <w:rPr>
          <w:rFonts w:hint="eastAsia" w:ascii="仿宋" w:hAnsi="仿宋" w:eastAsia="仿宋" w:cs="Arial Unicode MS"/>
          <w:bCs/>
          <w:color w:val="000000"/>
          <w:sz w:val="24"/>
          <w:u w:val="none" w:color="000000"/>
          <w:lang w:eastAsia="zh-CN"/>
        </w:rPr>
        <w:t>，</w:t>
      </w:r>
      <w:r>
        <w:rPr>
          <w:rFonts w:hint="eastAsia" w:ascii="仿宋" w:hAnsi="仿宋" w:eastAsia="仿宋" w:cs="Arial Unicode MS"/>
          <w:bCs/>
          <w:color w:val="000000"/>
          <w:sz w:val="24"/>
          <w:u w:val="none" w:color="000000"/>
        </w:rPr>
        <w:t>维保期从验收合格之日起计。</w:t>
      </w:r>
    </w:p>
    <w:p w14:paraId="4E109772">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产品质量和安装调试检验标准遵照国家相关规定和最新标准以及招标文件执行。验收中如发现有质量不合格或型号规格、数量、技术参数等不符招标文件的情况，乙方应免费更换或补齐，并承担因此产生的任何费用及甲方全部损失。经更换或补齐后，仍不符合要求的，甲方有权单方解除合同。乙方提供的货物经过双方检验认可后，甲方签署验收报告。</w:t>
      </w:r>
    </w:p>
    <w:p w14:paraId="6899728F">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对于未发现的隐蔽质量瑕疵，若在维保期内发现的，甲方除有权要求乙方采取修理、更换或退货等处理措施并赔偿甲方因此遭受的全部损失外，还有权要求延长保修期（针对修理设备的情形）或重新计算维保期（针对更换设备的情形）。</w:t>
      </w:r>
    </w:p>
    <w:p w14:paraId="1FA06B60">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当满足以下条件时，甲方才向乙方签发货物验收报告：</w:t>
      </w:r>
    </w:p>
    <w:p w14:paraId="11FB3243">
      <w:pPr>
        <w:numPr>
          <w:ilvl w:val="0"/>
          <w:numId w:val="2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乙方已按照合同规定提供了全部产品及完整的技术资料；</w:t>
      </w:r>
    </w:p>
    <w:p w14:paraId="523A900D">
      <w:pPr>
        <w:numPr>
          <w:ilvl w:val="0"/>
          <w:numId w:val="2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货物符合招标文件技术规格书的要求，性能满足要求；</w:t>
      </w:r>
    </w:p>
    <w:p w14:paraId="50F43AE3">
      <w:pPr>
        <w:numPr>
          <w:ilvl w:val="0"/>
          <w:numId w:val="2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货物具备产品合格证；</w:t>
      </w:r>
    </w:p>
    <w:p w14:paraId="760DA5A9">
      <w:pPr>
        <w:numPr>
          <w:ilvl w:val="0"/>
          <w:numId w:val="2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提供维修手册、售后服务承诺书、中文操作手册。</w:t>
      </w:r>
    </w:p>
    <w:p w14:paraId="36EDEDE2">
      <w:pPr>
        <w:numPr>
          <w:ilvl w:val="0"/>
          <w:numId w:val="28"/>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若甲方对中标产品质量有质疑，乙方需无条件配合甲方委托有资质的第三方质量检测部门按照招投标文件进行技术参数检测确认，委托检测</w:t>
      </w:r>
      <w:r>
        <w:rPr>
          <w:rFonts w:hint="eastAsia" w:ascii="仿宋" w:hAnsi="仿宋" w:eastAsia="仿宋" w:cs="Arial Unicode MS"/>
          <w:bCs/>
          <w:sz w:val="24"/>
          <w:lang w:val="en-US" w:eastAsia="zh-CN"/>
        </w:rPr>
        <w:t>验收</w:t>
      </w:r>
      <w:r>
        <w:rPr>
          <w:rFonts w:hint="eastAsia" w:ascii="仿宋" w:hAnsi="仿宋" w:eastAsia="仿宋" w:cs="Arial Unicode MS"/>
          <w:bCs/>
          <w:sz w:val="24"/>
        </w:rPr>
        <w:t>事项由乙方负责。检测报告的结果为合格，甲方将履行采购合同；若检测报告不合格，甲方有权单方解除合同，因此造成的全部损失由乙方承担。</w:t>
      </w:r>
    </w:p>
    <w:p w14:paraId="6EFC063B">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售后服务</w:t>
      </w:r>
    </w:p>
    <w:p w14:paraId="2F12B35F">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1.设备安装调试验收合格之日起，</w:t>
      </w:r>
      <w:r>
        <w:rPr>
          <w:rFonts w:hint="eastAsia" w:ascii="仿宋" w:hAnsi="仿宋" w:eastAsia="仿宋" w:cs="Arial Unicode MS"/>
          <w:b w:val="0"/>
          <w:bCs/>
          <w:kern w:val="2"/>
          <w:sz w:val="24"/>
          <w:szCs w:val="22"/>
          <w:lang w:val="en-US" w:eastAsia="zh-CN" w:bidi="ar-SA"/>
        </w:rPr>
        <w:t>原厂免费整机维保期≥5年，终身维修(保证10年以上零配件供应)</w:t>
      </w:r>
      <w:r>
        <w:rPr>
          <w:rFonts w:hint="eastAsia" w:ascii="仿宋" w:hAnsi="仿宋" w:eastAsia="仿宋" w:cs="Arial Unicode MS"/>
          <w:bCs/>
          <w:sz w:val="24"/>
        </w:rPr>
        <w:t>，因质量问题造成设备全部或部分停止使用的时间，维保期予以相应的延长；软件终身免费升级。</w:t>
      </w:r>
    </w:p>
    <w:p w14:paraId="275198DA">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2.提供技术资料、中文操作手册。</w:t>
      </w:r>
    </w:p>
    <w:p w14:paraId="275F4CC8">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3.维保期内，</w:t>
      </w:r>
      <w:r>
        <w:rPr>
          <w:rFonts w:hint="eastAsia" w:ascii="仿宋" w:hAnsi="仿宋" w:eastAsia="仿宋" w:cs="Arial Unicode MS"/>
          <w:bCs/>
          <w:sz w:val="24"/>
          <w:lang w:val="en-US" w:eastAsia="zh-CN"/>
        </w:rPr>
        <w:t>乙方</w:t>
      </w:r>
      <w:r>
        <w:rPr>
          <w:rFonts w:hint="eastAsia" w:ascii="仿宋" w:hAnsi="仿宋" w:eastAsia="仿宋" w:cs="Arial Unicode MS"/>
          <w:bCs/>
          <w:sz w:val="24"/>
        </w:rPr>
        <w:t>应当每 叁 个月至甲方现场对设备进行预防性维护保养，必须提供设备原厂定期维护服务计划，并附维护清单。定期检测系统、数据库、以及消息的运行状况，并做好相应的记录以书面形式报告给</w:t>
      </w:r>
      <w:r>
        <w:rPr>
          <w:rFonts w:hint="eastAsia" w:ascii="仿宋" w:hAnsi="仿宋" w:eastAsia="仿宋" w:cs="Arial Unicode MS"/>
          <w:bCs/>
          <w:sz w:val="24"/>
          <w:lang w:val="en-US" w:eastAsia="zh-CN"/>
        </w:rPr>
        <w:t>甲方</w:t>
      </w:r>
      <w:r>
        <w:rPr>
          <w:rFonts w:hint="eastAsia" w:ascii="仿宋" w:hAnsi="仿宋" w:eastAsia="仿宋" w:cs="Arial Unicode MS"/>
          <w:bCs/>
          <w:sz w:val="24"/>
        </w:rPr>
        <w:t>。</w:t>
      </w:r>
    </w:p>
    <w:p w14:paraId="4BD63B86">
      <w:pPr>
        <w:numPr>
          <w:ilvl w:val="0"/>
          <w:numId w:val="0"/>
        </w:numPr>
        <w:topLinePunct/>
        <w:spacing w:line="360" w:lineRule="auto"/>
        <w:ind w:left="0" w:firstLine="480" w:firstLineChars="200"/>
        <w:jc w:val="left"/>
        <w:rPr>
          <w:rFonts w:hint="eastAsia" w:ascii="仿宋" w:hAnsi="仿宋" w:eastAsia="仿宋" w:cs="Arial Unicode MS"/>
          <w:bCs/>
          <w:sz w:val="24"/>
          <w:lang w:eastAsia="zh-CN"/>
        </w:rPr>
      </w:pPr>
      <w:r>
        <w:rPr>
          <w:rFonts w:hint="eastAsia" w:ascii="仿宋" w:hAnsi="仿宋" w:eastAsia="仿宋" w:cs="Arial Unicode MS"/>
          <w:bCs/>
          <w:kern w:val="2"/>
          <w:sz w:val="24"/>
          <w:szCs w:val="22"/>
          <w:lang w:val="en-US" w:eastAsia="zh-CN" w:bidi="ar-SA"/>
        </w:rPr>
        <w:t>4.</w:t>
      </w:r>
      <w:r>
        <w:rPr>
          <w:rFonts w:hint="eastAsia" w:ascii="仿宋" w:hAnsi="仿宋" w:eastAsia="仿宋" w:cs="Arial Unicode MS"/>
          <w:bCs/>
          <w:sz w:val="24"/>
        </w:rPr>
        <w:t>维保期内，</w:t>
      </w:r>
      <w:r>
        <w:rPr>
          <w:rFonts w:hint="eastAsia" w:ascii="仿宋" w:hAnsi="仿宋" w:eastAsia="仿宋" w:cs="Arial Unicode MS"/>
          <w:bCs/>
          <w:sz w:val="24"/>
          <w:lang w:val="en-US" w:eastAsia="zh-CN"/>
        </w:rPr>
        <w:t>乙方</w:t>
      </w:r>
      <w:r>
        <w:rPr>
          <w:rFonts w:hint="eastAsia" w:ascii="仿宋" w:hAnsi="仿宋" w:eastAsia="仿宋" w:cs="Arial Unicode MS"/>
          <w:bCs/>
          <w:sz w:val="24"/>
        </w:rPr>
        <w:t>应对设备因质量出现的问题免费修复，并且要在2小时内响应，8小时内到达现场维修，并在 48 小时内消除故障，若在 48 小时内不能及时排除故障的，</w:t>
      </w:r>
      <w:r>
        <w:rPr>
          <w:rFonts w:hint="eastAsia" w:ascii="仿宋" w:hAnsi="仿宋" w:eastAsia="仿宋" w:cs="Arial Unicode MS"/>
          <w:bCs/>
          <w:sz w:val="24"/>
          <w:lang w:val="en-US" w:eastAsia="zh-CN"/>
        </w:rPr>
        <w:t>乙方</w:t>
      </w:r>
      <w:r>
        <w:rPr>
          <w:rFonts w:hint="eastAsia" w:ascii="仿宋" w:hAnsi="仿宋" w:eastAsia="仿宋" w:cs="Arial Unicode MS"/>
          <w:bCs/>
          <w:sz w:val="24"/>
        </w:rPr>
        <w:t>应在 10个日历日 内向</w:t>
      </w:r>
      <w:r>
        <w:rPr>
          <w:rFonts w:hint="eastAsia" w:ascii="仿宋" w:hAnsi="仿宋" w:eastAsia="仿宋" w:cs="Arial Unicode MS"/>
          <w:bCs/>
          <w:sz w:val="24"/>
          <w:lang w:val="en-US" w:eastAsia="zh-CN"/>
        </w:rPr>
        <w:t>甲方</w:t>
      </w:r>
      <w:r>
        <w:rPr>
          <w:rFonts w:hint="eastAsia" w:ascii="仿宋" w:hAnsi="仿宋" w:eastAsia="仿宋" w:cs="Arial Unicode MS"/>
          <w:bCs/>
          <w:sz w:val="24"/>
        </w:rPr>
        <w:t>免费提供不低故障设备规格型号档次的备用设备使用，直至故障修复为止，由此产生的包括但不限于运输费、安装费、搬运费、替换产品的损耗费、零部件费、调试费等全部费用由</w:t>
      </w:r>
      <w:r>
        <w:rPr>
          <w:rFonts w:hint="eastAsia" w:ascii="仿宋" w:hAnsi="仿宋" w:eastAsia="仿宋" w:cs="Arial Unicode MS"/>
          <w:bCs/>
          <w:sz w:val="24"/>
          <w:lang w:val="en-US" w:eastAsia="zh-CN"/>
        </w:rPr>
        <w:t>乙方</w:t>
      </w:r>
      <w:r>
        <w:rPr>
          <w:rFonts w:hint="eastAsia" w:ascii="仿宋" w:hAnsi="仿宋" w:eastAsia="仿宋" w:cs="Arial Unicode MS"/>
          <w:bCs/>
          <w:sz w:val="24"/>
        </w:rPr>
        <w:t>承担；维保期外，</w:t>
      </w:r>
      <w:r>
        <w:rPr>
          <w:rFonts w:hint="eastAsia" w:ascii="仿宋" w:hAnsi="仿宋" w:eastAsia="仿宋" w:cs="Arial Unicode MS"/>
          <w:bCs/>
          <w:sz w:val="24"/>
          <w:lang w:val="en-US" w:eastAsia="zh-CN"/>
        </w:rPr>
        <w:t>乙方</w:t>
      </w:r>
      <w:r>
        <w:rPr>
          <w:rFonts w:hint="eastAsia" w:ascii="仿宋" w:hAnsi="仿宋" w:eastAsia="仿宋" w:cs="Arial Unicode MS"/>
          <w:bCs/>
          <w:sz w:val="24"/>
        </w:rPr>
        <w:t>负责免费维修及提供原装配件，</w:t>
      </w:r>
      <w:r>
        <w:rPr>
          <w:rFonts w:hint="eastAsia" w:ascii="仿宋" w:hAnsi="仿宋" w:eastAsia="仿宋" w:cs="Arial Unicode MS"/>
          <w:bCs/>
          <w:sz w:val="24"/>
          <w:lang w:val="en-US" w:eastAsia="zh-CN"/>
        </w:rPr>
        <w:t>甲方</w:t>
      </w:r>
      <w:r>
        <w:rPr>
          <w:rFonts w:hint="eastAsia" w:ascii="仿宋" w:hAnsi="仿宋" w:eastAsia="仿宋" w:cs="Arial Unicode MS"/>
          <w:bCs/>
          <w:sz w:val="24"/>
        </w:rPr>
        <w:t>只支付更换零配件费。各设备配件成本费之和不得超过采购文件的设备单价</w:t>
      </w:r>
      <w:r>
        <w:rPr>
          <w:rFonts w:hint="eastAsia" w:ascii="仿宋" w:hAnsi="仿宋" w:eastAsia="仿宋" w:cs="Arial Unicode MS"/>
          <w:bCs/>
          <w:sz w:val="24"/>
          <w:lang w:eastAsia="zh-CN"/>
        </w:rPr>
        <w:t>。</w:t>
      </w:r>
    </w:p>
    <w:p w14:paraId="6F24606D">
      <w:pPr>
        <w:numPr>
          <w:ilvl w:val="0"/>
          <w:numId w:val="0"/>
        </w:numPr>
        <w:topLinePunct/>
        <w:spacing w:line="360" w:lineRule="auto"/>
        <w:ind w:left="0" w:firstLine="480" w:firstLineChars="200"/>
        <w:jc w:val="left"/>
        <w:rPr>
          <w:rFonts w:hint="eastAsia" w:ascii="仿宋" w:hAnsi="仿宋" w:eastAsia="仿宋" w:cs="Arial Unicode MS"/>
          <w:bCs/>
          <w:sz w:val="24"/>
          <w:lang w:eastAsia="zh-CN"/>
        </w:rPr>
      </w:pPr>
      <w:r>
        <w:rPr>
          <w:rFonts w:hint="eastAsia" w:ascii="仿宋" w:hAnsi="仿宋" w:eastAsia="仿宋" w:cs="Arial Unicode MS"/>
          <w:bCs/>
          <w:sz w:val="24"/>
          <w:lang w:eastAsia="zh-CN"/>
        </w:rPr>
        <w:t>5.维保期内，乙方应确保设备年开机率在 98% 以上（含98），若达不到此开机率，将作以下处理：年开机率在 90%-98% 之间（含90），赔 壹 年延长维保期；年开机率在 85%-90% 之间（含85），赔 贰 年延长维保期；年开机率低于 85% ，乙方必须无条件更换新设备，并重新计算新设备的维保期，以及赔偿甲方的直接经济损失和间接经济损失。【注：年开机率=（365-停机天数）/365】</w:t>
      </w:r>
    </w:p>
    <w:p w14:paraId="087D359D">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6.</w:t>
      </w:r>
      <w:r>
        <w:rPr>
          <w:rFonts w:hint="eastAsia" w:ascii="仿宋" w:hAnsi="仿宋" w:eastAsia="仿宋" w:cs="Arial Unicode MS"/>
          <w:bCs/>
          <w:sz w:val="24"/>
        </w:rPr>
        <w:t>乙方提供工程师电话和技术维修力量情况和维修点的详细地址及联系方式。</w:t>
      </w:r>
    </w:p>
    <w:p w14:paraId="66B0EDC7">
      <w:pPr>
        <w:topLinePunct/>
        <w:spacing w:line="360" w:lineRule="auto"/>
        <w:ind w:left="420" w:leftChars="200"/>
        <w:jc w:val="left"/>
        <w:rPr>
          <w:rFonts w:hint="eastAsia" w:ascii="仿宋" w:hAnsi="仿宋" w:eastAsia="仿宋" w:cs="Arial Unicode MS"/>
          <w:bCs/>
          <w:sz w:val="24"/>
        </w:rPr>
      </w:pPr>
      <w:r>
        <w:rPr>
          <w:rFonts w:hint="eastAsia" w:ascii="仿宋" w:hAnsi="仿宋" w:eastAsia="仿宋" w:cs="Arial Unicode MS"/>
          <w:bCs/>
          <w:sz w:val="24"/>
        </w:rPr>
        <w:t>工程师：                                联系方式：</w:t>
      </w:r>
    </w:p>
    <w:p w14:paraId="307787B3">
      <w:pPr>
        <w:topLinePunct/>
        <w:spacing w:line="360" w:lineRule="auto"/>
        <w:ind w:left="420" w:leftChars="200"/>
        <w:jc w:val="left"/>
        <w:rPr>
          <w:rFonts w:hint="eastAsia" w:ascii="仿宋" w:hAnsi="仿宋" w:eastAsia="仿宋" w:cs="Arial Unicode MS"/>
          <w:bCs/>
          <w:sz w:val="24"/>
        </w:rPr>
      </w:pPr>
      <w:r>
        <w:rPr>
          <w:rFonts w:hint="eastAsia" w:ascii="仿宋" w:hAnsi="仿宋" w:eastAsia="仿宋" w:cs="Arial Unicode MS"/>
          <w:bCs/>
          <w:sz w:val="24"/>
        </w:rPr>
        <w:t>技术维修人员：                          联系方式：</w:t>
      </w:r>
    </w:p>
    <w:p w14:paraId="19345437">
      <w:pPr>
        <w:topLinePunct/>
        <w:spacing w:line="360" w:lineRule="auto"/>
        <w:ind w:left="420" w:leftChars="200"/>
        <w:jc w:val="left"/>
        <w:rPr>
          <w:rFonts w:hint="eastAsia" w:ascii="仿宋" w:hAnsi="仿宋" w:eastAsia="仿宋" w:cs="Arial Unicode MS"/>
          <w:bCs/>
          <w:sz w:val="24"/>
        </w:rPr>
      </w:pPr>
      <w:r>
        <w:rPr>
          <w:rFonts w:hint="eastAsia" w:ascii="仿宋" w:hAnsi="仿宋" w:eastAsia="仿宋" w:cs="Arial Unicode MS"/>
          <w:bCs/>
          <w:sz w:val="24"/>
        </w:rPr>
        <w:t>维修点地址：                            联系方式：</w:t>
      </w:r>
    </w:p>
    <w:p w14:paraId="3B14AC34">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7.</w:t>
      </w:r>
      <w:r>
        <w:rPr>
          <w:rFonts w:hint="eastAsia" w:ascii="仿宋" w:hAnsi="仿宋" w:eastAsia="仿宋" w:cs="Arial Unicode MS"/>
          <w:bCs/>
          <w:sz w:val="24"/>
        </w:rPr>
        <w:t>乙方负责通知厂家免费安装、调试、免费提供技术咨询、软件升级及人员培训，以保证甲方工作人员掌握设备各种使用操作。</w:t>
      </w:r>
    </w:p>
    <w:p w14:paraId="2EB26160">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8.</w:t>
      </w:r>
      <w:r>
        <w:rPr>
          <w:rFonts w:hint="eastAsia" w:ascii="仿宋" w:hAnsi="仿宋" w:eastAsia="仿宋" w:cs="Arial Unicode MS"/>
          <w:bCs/>
          <w:sz w:val="24"/>
        </w:rPr>
        <w:t>保证设备维修和配件的供应。</w:t>
      </w:r>
    </w:p>
    <w:p w14:paraId="59120C95">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9.</w:t>
      </w:r>
      <w:r>
        <w:rPr>
          <w:rFonts w:hint="eastAsia" w:ascii="仿宋" w:hAnsi="仿宋" w:eastAsia="仿宋" w:cs="Arial Unicode MS"/>
          <w:bCs/>
          <w:sz w:val="24"/>
        </w:rPr>
        <w:t>场地迁移，需要移机时，乙方需免费迁移并提供技术支持，且确保机器的正常使用。</w:t>
      </w:r>
    </w:p>
    <w:p w14:paraId="2C0AA6B5">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10.</w:t>
      </w:r>
      <w:r>
        <w:rPr>
          <w:rFonts w:hint="eastAsia" w:ascii="仿宋" w:hAnsi="仿宋" w:eastAsia="仿宋" w:cs="Arial Unicode MS"/>
          <w:bCs/>
          <w:sz w:val="24"/>
        </w:rPr>
        <w:t>本项目中如有涉及水、电、气设备安装及调试、室外高空作业等项目的乙方承诺使用具有国家认可资质的操作人员（资质证书仍在有效期内）实施，否则由此造成的后果由乙方负责。相关资质证书需事先在甲方处备案。</w:t>
      </w:r>
    </w:p>
    <w:p w14:paraId="4D2AAC5C">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11.</w:t>
      </w:r>
      <w:r>
        <w:rPr>
          <w:rFonts w:hint="eastAsia" w:ascii="仿宋" w:hAnsi="仿宋" w:eastAsia="仿宋" w:cs="Arial Unicode MS"/>
          <w:bCs/>
          <w:sz w:val="24"/>
        </w:rPr>
        <w:t>本项目所要求的硬件、软件，乙方要配备给甲方，并保证甲方能正常使用，不需要另外增加其他附件和其他费用。</w:t>
      </w:r>
    </w:p>
    <w:p w14:paraId="6253CA08">
      <w:pPr>
        <w:numPr>
          <w:ilvl w:val="0"/>
          <w:numId w:val="0"/>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kern w:val="2"/>
          <w:sz w:val="24"/>
          <w:szCs w:val="22"/>
          <w:lang w:val="en-US" w:eastAsia="zh-CN" w:bidi="ar-SA"/>
        </w:rPr>
        <w:t>12.</w:t>
      </w:r>
      <w:r>
        <w:rPr>
          <w:rFonts w:hint="eastAsia" w:ascii="仿宋" w:hAnsi="仿宋" w:eastAsia="仿宋" w:cs="Arial Unicode MS"/>
          <w:bCs/>
          <w:sz w:val="24"/>
        </w:rPr>
        <w:t>乙方免费负责对接医院相关系统（如东华、蓝网等系统），</w:t>
      </w:r>
      <w:r>
        <w:rPr>
          <w:rFonts w:hint="eastAsia" w:ascii="仿宋" w:hAnsi="仿宋" w:eastAsia="仿宋"/>
          <w:bCs/>
          <w:color w:val="000000"/>
          <w:sz w:val="24"/>
          <w:szCs w:val="24"/>
        </w:rPr>
        <w:t>实现数据实时自动本地备份，保证数据安全和共享，无需另外购置即可满足临床需求</w:t>
      </w:r>
      <w:r>
        <w:rPr>
          <w:rFonts w:hint="eastAsia" w:ascii="仿宋" w:hAnsi="仿宋" w:eastAsia="仿宋" w:cs="Arial Unicode MS"/>
          <w:bCs/>
          <w:sz w:val="24"/>
        </w:rPr>
        <w:t>。</w:t>
      </w:r>
    </w:p>
    <w:p w14:paraId="6B7F9B3F">
      <w:pPr>
        <w:numPr>
          <w:ilvl w:val="0"/>
          <w:numId w:val="25"/>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支付方式</w:t>
      </w:r>
    </w:p>
    <w:p w14:paraId="25360824">
      <w:pPr>
        <w:numPr>
          <w:ilvl w:val="0"/>
          <w:numId w:val="30"/>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付款方式及付款信息</w:t>
      </w:r>
    </w:p>
    <w:p w14:paraId="23025E80">
      <w:pPr>
        <w:numPr>
          <w:ilvl w:val="0"/>
          <w:numId w:val="31"/>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本合同的每笔款项以人民币转账的方式按以下进度支付。支付的必要前提为乙方已经提供合同、验收调试合格报告和合法有效等额的正式发票。</w:t>
      </w:r>
    </w:p>
    <w:p w14:paraId="75E80344">
      <w:pPr>
        <w:numPr>
          <w:ilvl w:val="0"/>
          <w:numId w:val="32"/>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签订合同后，设备到货安装验收合格并收到乙方开具的正规等额发票后的</w:t>
      </w:r>
      <w:r>
        <w:rPr>
          <w:rFonts w:hint="eastAsia" w:ascii="仿宋" w:hAnsi="仿宋" w:eastAsia="仿宋" w:cs="Arial Unicode MS"/>
          <w:bCs/>
          <w:sz w:val="24"/>
          <w:lang w:val="en-US" w:eastAsia="zh-CN"/>
        </w:rPr>
        <w:t>10个工作日</w:t>
      </w:r>
      <w:r>
        <w:rPr>
          <w:rFonts w:hint="eastAsia" w:ascii="仿宋" w:hAnsi="仿宋" w:eastAsia="仿宋" w:cs="Arial Unicode MS"/>
          <w:bCs/>
          <w:sz w:val="24"/>
        </w:rPr>
        <w:t>内，甲方支付合同价款100%给乙方；乙方出具验收报告同时，需向甲方出具向厂家购买</w:t>
      </w:r>
      <w:r>
        <w:rPr>
          <w:rFonts w:hint="eastAsia" w:ascii="仿宋" w:hAnsi="仿宋" w:eastAsia="仿宋" w:cs="Arial Unicode MS"/>
          <w:bCs/>
          <w:sz w:val="24"/>
          <w:lang w:val="en-US" w:eastAsia="zh-CN"/>
        </w:rPr>
        <w:t>维保</w:t>
      </w:r>
      <w:r>
        <w:rPr>
          <w:rFonts w:hint="eastAsia" w:ascii="仿宋" w:hAnsi="仿宋" w:eastAsia="仿宋" w:cs="Arial Unicode MS"/>
          <w:bCs/>
          <w:sz w:val="24"/>
        </w:rPr>
        <w:t>服务合同/厂家维保承诺。</w:t>
      </w:r>
    </w:p>
    <w:p w14:paraId="7AC86278">
      <w:pPr>
        <w:numPr>
          <w:ilvl w:val="0"/>
          <w:numId w:val="31"/>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甲乙双方所有款项往来均通过银行转账方式进行，乙方指定的收款银行账户信息如下：</w:t>
      </w:r>
    </w:p>
    <w:p w14:paraId="06581DDA">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 xml:space="preserve">开户名称：【                      】   </w:t>
      </w:r>
    </w:p>
    <w:p w14:paraId="29100BD4">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 xml:space="preserve">开户银行：【                      】 </w:t>
      </w:r>
    </w:p>
    <w:p w14:paraId="4425B68B">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 xml:space="preserve">银行账号：【                      】 </w:t>
      </w:r>
    </w:p>
    <w:p w14:paraId="7E1E6E06">
      <w:pPr>
        <w:numPr>
          <w:ilvl w:val="0"/>
          <w:numId w:val="31"/>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如果甲方对乙方提供的产品有质量异议的，可以视具体情况暂时中止支付争议款项或其他相关款项，直到争议解除，甲方不因此承担延期付款的违约责任。</w:t>
      </w:r>
    </w:p>
    <w:p w14:paraId="19CE6814">
      <w:pPr>
        <w:numPr>
          <w:ilvl w:val="0"/>
          <w:numId w:val="33"/>
        </w:numPr>
        <w:tabs>
          <w:tab w:val="left" w:pos="312"/>
        </w:tabs>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开具合法有效等额的发票，甲方不接受除乙方以外的第三方出具的发票。甲方收到乙方合法等额的增值税发票或增值税专用发票后，根据双方约定付款时间支付货款。由于乙方逾期未提供合法有效等额的增值税发票，甲方有权顺延支付乙方应付货款，直至票据齐全，且不得视为甲方违约。</w:t>
      </w:r>
    </w:p>
    <w:p w14:paraId="347C6658">
      <w:pPr>
        <w:numPr>
          <w:ilvl w:val="0"/>
          <w:numId w:val="33"/>
        </w:numPr>
        <w:tabs>
          <w:tab w:val="left" w:pos="312"/>
        </w:tabs>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乙方提供的产品不合格，或产品存在瑕疵、缺陷，甲方有权暂停支付乙方项下相应到期应付货款，且不视为甲方违约，直到双方正式处理完不合格产品为止。</w:t>
      </w:r>
    </w:p>
    <w:p w14:paraId="7B450351">
      <w:pPr>
        <w:numPr>
          <w:ilvl w:val="0"/>
          <w:numId w:val="33"/>
        </w:numPr>
        <w:tabs>
          <w:tab w:val="left" w:pos="312"/>
        </w:tabs>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应向甲方提供真实有效的银行账户，银行账户如有变更，应立即书面通知甲方，如乙方银行账户变更未书面通知甲方或者乙方提供的账户或账户相关信息遗漏、错误的，甲方以乙方确认收款账户进行付款，造成乙方实际未收到货款的，该责任由乙方自行承担。未经甲方书面认可，乙方不得将应收款项转让给任何第三方或让任何第三方代收，否则甲方有权拒绝付款，且不得视为甲方违约。</w:t>
      </w:r>
    </w:p>
    <w:p w14:paraId="24002356">
      <w:pPr>
        <w:numPr>
          <w:ilvl w:val="0"/>
          <w:numId w:val="33"/>
        </w:numPr>
        <w:tabs>
          <w:tab w:val="left" w:pos="312"/>
        </w:tabs>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若本产品采购项目付款涉及财政审批迟延的特殊情况，甲方未能保证按约付款的，甲方应向乙方进行说明并明确新的付款期限，乙方对此表示理解，甲方不因此承担延期付款的违约责任。</w:t>
      </w:r>
    </w:p>
    <w:p w14:paraId="155BD544">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违约责任</w:t>
      </w:r>
    </w:p>
    <w:p w14:paraId="7A7EF105">
      <w:pPr>
        <w:numPr>
          <w:ilvl w:val="0"/>
          <w:numId w:val="35"/>
        </w:numPr>
        <w:topLinePunct/>
        <w:spacing w:line="360" w:lineRule="auto"/>
        <w:ind w:firstLine="480" w:firstLineChars="200"/>
        <w:jc w:val="left"/>
        <w:rPr>
          <w:rFonts w:hint="eastAsia" w:ascii="仿宋" w:hAnsi="仿宋" w:eastAsia="仿宋" w:cs="Arial Unicode MS"/>
          <w:bCs/>
          <w:sz w:val="24"/>
        </w:rPr>
      </w:pPr>
      <w:bookmarkStart w:id="100" w:name="OLE_LINK10"/>
      <w:r>
        <w:rPr>
          <w:rFonts w:hint="eastAsia" w:ascii="仿宋" w:hAnsi="仿宋" w:eastAsia="仿宋" w:cs="Arial Unicode MS"/>
          <w:bCs/>
          <w:sz w:val="24"/>
        </w:rPr>
        <w:t>本合同签署之后，双方应诚实守信履行本合同项下的全部义务，任何一方违反本合同约定的保证、承诺或合同条款给对方造成损失的，违约方应承担全部赔偿责任（下同），本合同所提及的全部损失包括但不限于直接损失、间接损失（甲方客户因产品交付或质量问题要求甲方承担的赔偿金等）、因维权产生的合理支出（差旅费、鉴定费、取证费、公证费、仲裁费、律师费、鉴定费、诉讼费、保全费等）。</w:t>
      </w:r>
      <w:bookmarkEnd w:id="100"/>
    </w:p>
    <w:p w14:paraId="5C21B162">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逾期交货违约责任：</w:t>
      </w:r>
    </w:p>
    <w:p w14:paraId="255C4C3C">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1）如乙方未按照合同约定的时间交付货物的，每逾期一天，甲方有权要求乙方延长两天的维保服务期限；逾期超过90日历日的，甲方有权单方解除合同并要求乙方承担合同总金额20%的违约金。如违约金不足以赔偿因交货延迟给甲方造成的损失，乙方还应继续承担相应的赔偿责任。</w:t>
      </w:r>
    </w:p>
    <w:p w14:paraId="6D780C3B">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（2）乙方所供货物因质量问题造成延期交付的，依据本条款第一项内容执行。</w:t>
      </w:r>
    </w:p>
    <w:p w14:paraId="0FA6B880">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提供的产品质量不符合双方约定或者有瑕疵、缺陷的，甲方有权拒绝收货、要求退换货并有权单方终止合同，同时乙方还应向甲方支付合同总额20%的违约金。违约金不足以赔偿甲方损失的，乙方还需继续承担赔偿责任。</w:t>
      </w:r>
    </w:p>
    <w:p w14:paraId="6A4FEDBF">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如因生产产品所需原材料发生短缺或停产，需要更换生产原材料的，除非甲方书面同意使用替代材料，否则甲方有权单方终止本合同并要求乙方向甲方支付合同总额20%的违约金，违约金不足以赔偿甲方损失的，乙方还需继续承担赔偿责任。</w:t>
      </w:r>
    </w:p>
    <w:p w14:paraId="16CDA098">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设备（包括配件、附件、软件）发生故障，乙方没有按时完成维保工作的，每逾期一天，甲方有权要求乙方延长两天的维保服务期限；逾期超过</w:t>
      </w:r>
      <w:r>
        <w:rPr>
          <w:rFonts w:hint="eastAsia" w:ascii="仿宋" w:hAnsi="仿宋" w:eastAsia="仿宋" w:cs="Arial Unicode MS"/>
          <w:bCs/>
          <w:sz w:val="24"/>
          <w:lang w:val="en-US" w:eastAsia="zh-CN"/>
        </w:rPr>
        <w:t>15</w:t>
      </w:r>
      <w:r>
        <w:rPr>
          <w:rFonts w:hint="eastAsia" w:ascii="仿宋" w:hAnsi="仿宋" w:eastAsia="仿宋" w:cs="Arial Unicode MS"/>
          <w:bCs/>
          <w:sz w:val="24"/>
        </w:rPr>
        <w:t>日历日的，甲方有权单方解除合同并要求乙方承担合同总金额20%的违约金。违约金不足以赔偿甲方损失的，乙方还需继续承担赔偿责任。</w:t>
      </w:r>
    </w:p>
    <w:p w14:paraId="576C15AF">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若因乙方提供的设备存在质量问题，导致设备在正常操作下发生故障，对甲方、甲方人员或第三人造成损害的，乙方应当承担全部赔偿责任。甲方有权从应支付给乙方的货款中扣除各种索赔款项，包括质量赔偿款、延期交货赔偿款、代付运费、律师费、诉讼费、鉴定费等等。</w:t>
      </w:r>
    </w:p>
    <w:p w14:paraId="6DF565B0">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甲方无正当理由拒收设备、拒付设备款的，乙方有权向甲方索偿合同总额10%的违约金。</w:t>
      </w:r>
    </w:p>
    <w:p w14:paraId="03AE23E6">
      <w:pPr>
        <w:numPr>
          <w:ilvl w:val="0"/>
          <w:numId w:val="35"/>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甲方无正当理由拖欠货款的，应向乙方支付拖欠金额每日万分之五的违约金，但最多不超过合同总额5%。</w:t>
      </w:r>
    </w:p>
    <w:p w14:paraId="4F3D256C">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10.以上违约责任及违约金计算方法为合同各方经商议后慎重做出的约定，各方均确认并无任何误解、显失公平、胁迫等法律瑕疵，并保证在履行本合同过程中产生争议时，不因任何理由向对方或者有关审判机构提出增加/减少违约金的请求。</w:t>
      </w:r>
    </w:p>
    <w:p w14:paraId="662F93D2">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不可抗力</w:t>
      </w:r>
    </w:p>
    <w:p w14:paraId="6A69F837">
      <w:pPr>
        <w:numPr>
          <w:ilvl w:val="0"/>
          <w:numId w:val="36"/>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本条所称“不可抗力”是指不能预见、不能避免并且不能克服的客观情况，包括自然灾害、如</w:t>
      </w:r>
      <w:r>
        <w:rPr>
          <w:bCs/>
        </w:rPr>
        <w:fldChar w:fldCharType="begin"/>
      </w:r>
      <w:r>
        <w:rPr>
          <w:bCs/>
        </w:rPr>
        <w:instrText xml:space="preserve"> HYPERLINK "https://baike.baidu.com/item/%E5%8F%B0%E9%A3%8E/17003" \t "/Users/gefanghua/Documentsx/_blank" </w:instrText>
      </w:r>
      <w:r>
        <w:rPr>
          <w:bCs/>
        </w:rPr>
        <w:fldChar w:fldCharType="separate"/>
      </w:r>
      <w:r>
        <w:rPr>
          <w:rStyle w:val="57"/>
          <w:rFonts w:hint="eastAsia" w:ascii="仿宋" w:hAnsi="仿宋" w:eastAsia="仿宋" w:cs="Arial Unicode MS"/>
          <w:bCs/>
          <w:color w:val="auto"/>
          <w:sz w:val="24"/>
          <w:u w:val="none"/>
        </w:rPr>
        <w:t>台风</w:t>
      </w:r>
      <w:r>
        <w:rPr>
          <w:bCs/>
        </w:rPr>
        <w:fldChar w:fldCharType="end"/>
      </w:r>
      <w:r>
        <w:rPr>
          <w:rFonts w:hint="eastAsia" w:ascii="仿宋" w:hAnsi="仿宋" w:eastAsia="仿宋" w:cs="Arial Unicode MS"/>
          <w:bCs/>
          <w:sz w:val="24"/>
        </w:rPr>
        <w:t>、</w:t>
      </w:r>
      <w:r>
        <w:rPr>
          <w:bCs/>
        </w:rPr>
        <w:fldChar w:fldCharType="begin"/>
      </w:r>
      <w:r>
        <w:rPr>
          <w:bCs/>
        </w:rPr>
        <w:instrText xml:space="preserve"> HYPERLINK "https://baike.baidu.com/item/%E5%9C%B0%E9%9C%87/40588" \t "/Users/gefanghua/Documentsx/_blank" </w:instrText>
      </w:r>
      <w:r>
        <w:rPr>
          <w:bCs/>
        </w:rPr>
        <w:fldChar w:fldCharType="separate"/>
      </w:r>
      <w:r>
        <w:rPr>
          <w:rStyle w:val="57"/>
          <w:rFonts w:hint="eastAsia" w:ascii="仿宋" w:hAnsi="仿宋" w:eastAsia="仿宋" w:cs="Arial Unicode MS"/>
          <w:bCs/>
          <w:color w:val="auto"/>
          <w:sz w:val="24"/>
          <w:u w:val="none"/>
        </w:rPr>
        <w:t>地震</w:t>
      </w:r>
      <w:r>
        <w:rPr>
          <w:bCs/>
        </w:rPr>
        <w:fldChar w:fldCharType="end"/>
      </w:r>
      <w:r>
        <w:rPr>
          <w:rFonts w:hint="eastAsia" w:ascii="仿宋" w:hAnsi="仿宋" w:eastAsia="仿宋" w:cs="Arial Unicode MS"/>
          <w:bCs/>
          <w:sz w:val="24"/>
        </w:rPr>
        <w:t>、洪水、冰雹等；政府行为，如征收、征用；社会异常事件，如罢工、骚乱等或其他双方认定的不可抗力事件。</w:t>
      </w:r>
    </w:p>
    <w:p w14:paraId="1FA34AB3">
      <w:pPr>
        <w:numPr>
          <w:ilvl w:val="0"/>
          <w:numId w:val="36"/>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如果出现不可抗力，双方在本合同中的义务在不可抗力影响范围及其持续期间内将中止履行。合作期限可根据中止的期限而作相应延长，但须双方协商一致。任何一方均不会因此而承担责任。</w:t>
      </w:r>
    </w:p>
    <w:p w14:paraId="718A0B80">
      <w:pPr>
        <w:numPr>
          <w:ilvl w:val="0"/>
          <w:numId w:val="36"/>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声称遭受不可抗力的一方应在不可抗力发生后不迟于5个工作日书面通知另一方，并提供经有关部门确认的不可抗力书面证明，且应尽可能减少不可抗力所产生之影响。如未采取相应措施导致损害扩大的，遭受不可抗力的一方应就损害扩大部分承担赔偿责任。</w:t>
      </w:r>
    </w:p>
    <w:p w14:paraId="558B95D0">
      <w:pPr>
        <w:numPr>
          <w:ilvl w:val="0"/>
          <w:numId w:val="36"/>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迟延履行期间发生的不可抗力不具有免责效力。</w:t>
      </w:r>
    </w:p>
    <w:p w14:paraId="3ECD8B77">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廉洁承诺</w:t>
      </w:r>
    </w:p>
    <w:p w14:paraId="129510D3">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为了进一步加强医疗卫生行风建设，规范医疗卫生机构医药购销行为，有效防范商业贿赂行为，营造公平交易、诚实守信的购销环境，甲乙双方承诺严格遵守以下条约：</w:t>
      </w:r>
    </w:p>
    <w:p w14:paraId="1F2CA6B3">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甲乙双方按照《中华人民共和国民法典》及其他相关法律法规购销药品、医用设备、医用耗材等医药产品。</w:t>
      </w:r>
    </w:p>
    <w:p w14:paraId="23B921F5">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 xml:space="preserve">甲方应当严格执行医药产品购销合同验收、入库制度，对采购医药产品及发票进行查验，不得违反有关规定进行合同外采购、违价采购或从非规定渠道采购。 </w:t>
      </w:r>
    </w:p>
    <w:p w14:paraId="281D64BD">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甲方严禁接受乙方以任何名义、形式给予的回扣，不得将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应情况。</w:t>
      </w:r>
    </w:p>
    <w:p w14:paraId="3EDDA7C7">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严禁甲方工作人员利用任何途径和方式，为乙方统计医师个人及临床科室有关医药产品用量信息，或为乙方统计提供便利。</w:t>
      </w:r>
    </w:p>
    <w:p w14:paraId="6D997703">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乙方不得以回扣、宴请等方式影响甲方工作人员采购或使用医药产品的选择权，不得在学术活动中提供旅游、超标准支付食宿费用。</w:t>
      </w:r>
    </w:p>
    <w:p w14:paraId="2B96576F">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乙方指定【     】作为销售代表洽谈业务。销售代表必须在工作时间到甲方指定地点联系商谈，不得到住院部、门诊部、医技科室等推销产品，不得借故到甲方相关领导、部门负责人及相关工作人员家中访谈并提供任何好处费。</w:t>
      </w:r>
    </w:p>
    <w:p w14:paraId="63540861">
      <w:pPr>
        <w:numPr>
          <w:ilvl w:val="0"/>
          <w:numId w:val="37"/>
        </w:numPr>
        <w:topLinePunct/>
        <w:spacing w:line="360" w:lineRule="auto"/>
        <w:ind w:left="0"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如违反廉洁承诺，一经发现，甲方有权单方终止采购合同，并向有关卫生计生行政部门报告。如乙方被列入商业贿赂不良记录，则严格按照《国家卫生计生委关于建立医药购销领域商业贿赂不良记录的规定》（国卫法制发【2013】50号）相关规定处理。</w:t>
      </w:r>
    </w:p>
    <w:p w14:paraId="49CA0545">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保密条款</w:t>
      </w:r>
    </w:p>
    <w:p w14:paraId="7BDC5714">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获得或知晓的甲方秘密信息，仅用于本项目及协商双方合作的用途。并且，乙方负有维护甲方秘密信息保密性的责任，不得向任何第三方泄露或用于本合同目的以外的其他任何目的，乙方如泄露相关信息，由此产生的一切后果由乙方承担。甲方秘密信息包括但不限于以下内容：</w:t>
      </w:r>
    </w:p>
    <w:p w14:paraId="67F24CE2">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甲方的机构设置和运行机制；</w:t>
      </w:r>
    </w:p>
    <w:p w14:paraId="2B87AF50">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甲方的计算机及其它辅助产品、安全产品的型号、数量、配置、运行状态等资料；</w:t>
      </w:r>
    </w:p>
    <w:p w14:paraId="688CC843">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甲方的应用系统名称、功能、业务类型、交易量、交易特征等信息；</w:t>
      </w:r>
    </w:p>
    <w:p w14:paraId="0ED2994D">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甲方的现有网络拓扑结构及其相关资料；</w:t>
      </w:r>
    </w:p>
    <w:p w14:paraId="0B88CE75">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甲方的业务流程、逻辑流程等资料；</w:t>
      </w:r>
    </w:p>
    <w:p w14:paraId="7BAD7963">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甲方的现有安全机制及安全系统；</w:t>
      </w:r>
    </w:p>
    <w:p w14:paraId="0C91D852">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甲方与其它公司的合作信息；</w:t>
      </w:r>
    </w:p>
    <w:p w14:paraId="199C143C">
      <w:pPr>
        <w:numPr>
          <w:ilvl w:val="0"/>
          <w:numId w:val="38"/>
        </w:numPr>
        <w:topLinePunct/>
        <w:spacing w:line="360" w:lineRule="auto"/>
        <w:jc w:val="left"/>
        <w:rPr>
          <w:rFonts w:hint="eastAsia" w:ascii="仿宋" w:hAnsi="仿宋" w:eastAsia="仿宋" w:cs="Arial Unicode MS"/>
          <w:bCs/>
          <w:sz w:val="24"/>
        </w:rPr>
      </w:pPr>
      <w:r>
        <w:rPr>
          <w:rFonts w:hint="eastAsia" w:ascii="仿宋" w:hAnsi="仿宋" w:eastAsia="仿宋" w:cs="Arial Unicode MS"/>
          <w:bCs/>
          <w:sz w:val="24"/>
        </w:rPr>
        <w:t>本次项目的所有文档和资料(含患者的所有信息)；</w:t>
      </w:r>
    </w:p>
    <w:p w14:paraId="72C1FE07">
      <w:pPr>
        <w:numPr>
          <w:ilvl w:val="0"/>
          <w:numId w:val="38"/>
        </w:numPr>
        <w:topLinePunct/>
        <w:spacing w:line="360" w:lineRule="auto"/>
        <w:jc w:val="left"/>
        <w:rPr>
          <w:rFonts w:hint="eastAsia" w:ascii="仿宋" w:hAnsi="仿宋" w:eastAsia="仿宋" w:cs="Arial Unicode MS"/>
          <w:b/>
          <w:sz w:val="24"/>
        </w:rPr>
      </w:pPr>
      <w:r>
        <w:rPr>
          <w:rFonts w:hint="eastAsia" w:ascii="仿宋" w:hAnsi="仿宋" w:eastAsia="仿宋" w:cs="Arial Unicode MS"/>
          <w:bCs/>
          <w:sz w:val="24"/>
        </w:rPr>
        <w:t>其他经甲方确认需要保密的信息资料。</w:t>
      </w:r>
    </w:p>
    <w:p w14:paraId="433621F3">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争议解决</w:t>
      </w:r>
    </w:p>
    <w:p w14:paraId="1D6E2E88">
      <w:p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若本合同在履行过程中发生争议，由甲、乙双方协商解决。协商不成，双方均可向深圳市宝安区人民法院提起诉讼。</w:t>
      </w:r>
    </w:p>
    <w:p w14:paraId="01057A01">
      <w:pPr>
        <w:numPr>
          <w:ilvl w:val="0"/>
          <w:numId w:val="34"/>
        </w:numPr>
        <w:topLinePunct/>
        <w:spacing w:line="360" w:lineRule="auto"/>
        <w:jc w:val="left"/>
        <w:rPr>
          <w:rFonts w:hint="eastAsia" w:ascii="仿宋" w:hAnsi="仿宋" w:eastAsia="仿宋" w:cs="Arial Unicode MS"/>
          <w:b/>
          <w:sz w:val="24"/>
        </w:rPr>
      </w:pPr>
      <w:r>
        <w:rPr>
          <w:rFonts w:hint="eastAsia" w:ascii="仿宋" w:hAnsi="仿宋" w:eastAsia="仿宋" w:cs="Arial Unicode MS"/>
          <w:b/>
          <w:sz w:val="24"/>
        </w:rPr>
        <w:t>其他约定</w:t>
      </w:r>
    </w:p>
    <w:p w14:paraId="45891827">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本合同由主文和合同当事双方代表按本合同规定的各项原则订立的附属文件(包括但不限于对原材料、质量要求和详细报价的报价说明等)共同构成，合同主文与各项附件具有同等法律效力且不可分割。</w:t>
      </w:r>
    </w:p>
    <w:p w14:paraId="05686508">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乙方保证甲方在中华人民共和国使用该产品或产品的任何一部分时的合法性，不侵犯任何第三人的专利权、商标权、著作权、商业秘密及其他知识产权，且因该产品或产品的组成部分所导致的任何知识产权纠纷均与甲方无关。如果因此而造成甲方经济损失的，由乙方承担全部赔偿责任。</w:t>
      </w:r>
    </w:p>
    <w:p w14:paraId="4495857A">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本合同一式四份，甲方三份，乙方一份，具有同等法律效力。</w:t>
      </w:r>
    </w:p>
    <w:p w14:paraId="7939DF11">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本合同自双方签字盖章之日起生效，至双方全部履行各自权利义务或双方协议终止时失效。</w:t>
      </w:r>
    </w:p>
    <w:p w14:paraId="7959A8F1">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本合同未尽事宜由双方另行协商。对本合同条款的任何变更、修改或增减，须经双方协商同意以后，双方签署书面文件，作为本合同的组成部分并具有同等法律效力。</w:t>
      </w:r>
    </w:p>
    <w:p w14:paraId="04F0416F">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本合同列明的地址为双方的送达地址，相关文件、法律文书邮寄到上述地址即视为合法送达。如按上述地址邮寄文件被邮政部门退回的，退回之日视为送达之日。一方变更送达地址的，应立即书面通知对方，否则承担不利的法律后果。</w:t>
      </w:r>
    </w:p>
    <w:p w14:paraId="4E4B4BB0">
      <w:pPr>
        <w:spacing w:line="306" w:lineRule="exact"/>
        <w:ind w:firstLine="480" w:firstLineChars="200"/>
        <w:rPr>
          <w:rFonts w:hint="eastAsia" w:ascii="仿宋" w:hAnsi="仿宋" w:eastAsia="仿宋" w:cs="仿宋"/>
          <w:sz w:val="24"/>
          <w:lang w:val="zh-TW"/>
        </w:rPr>
      </w:pPr>
      <w:r>
        <w:rPr>
          <w:rFonts w:hint="eastAsia" w:ascii="仿宋" w:hAnsi="仿宋" w:eastAsia="仿宋" w:cs="Arial Unicode MS"/>
          <w:bCs/>
          <w:sz w:val="24"/>
        </w:rPr>
        <w:t>甲方地址：深圳市宝安区福永街道德丰路81号</w:t>
      </w:r>
    </w:p>
    <w:p w14:paraId="20996974">
      <w:pPr>
        <w:tabs>
          <w:tab w:val="left" w:pos="312"/>
        </w:tabs>
        <w:topLinePunct/>
        <w:spacing w:line="360" w:lineRule="auto"/>
        <w:ind w:firstLine="480" w:firstLineChars="200"/>
        <w:jc w:val="left"/>
        <w:rPr>
          <w:rFonts w:hint="eastAsia" w:ascii="仿宋" w:hAnsi="仿宋" w:eastAsia="仿宋" w:cs="Arial Unicode MS"/>
          <w:bCs/>
          <w:color w:val="FF0000"/>
          <w:sz w:val="24"/>
        </w:rPr>
      </w:pPr>
      <w:r>
        <w:rPr>
          <w:rFonts w:hint="eastAsia" w:ascii="仿宋" w:hAnsi="仿宋" w:eastAsia="仿宋" w:cs="Arial Unicode MS"/>
          <w:bCs/>
          <w:sz w:val="24"/>
        </w:rPr>
        <w:t>乙方地址：</w:t>
      </w:r>
      <w:r>
        <w:rPr>
          <w:rFonts w:hint="eastAsia" w:ascii="仿宋" w:eastAsia="仿宋"/>
          <w:color w:val="FF0000"/>
          <w:sz w:val="24"/>
        </w:rPr>
        <w:t>XXXXXXXXXX</w:t>
      </w:r>
    </w:p>
    <w:p w14:paraId="188F9A06">
      <w:pPr>
        <w:numPr>
          <w:ilvl w:val="0"/>
          <w:numId w:val="39"/>
        </w:numPr>
        <w:topLinePunct/>
        <w:spacing w:line="360" w:lineRule="auto"/>
        <w:ind w:firstLine="480" w:firstLineChars="200"/>
        <w:jc w:val="left"/>
        <w:rPr>
          <w:rFonts w:hint="eastAsia" w:ascii="仿宋" w:hAnsi="仿宋" w:eastAsia="仿宋" w:cs="Arial Unicode MS"/>
          <w:bCs/>
          <w:sz w:val="24"/>
        </w:rPr>
      </w:pPr>
      <w:r>
        <w:rPr>
          <w:rFonts w:hint="eastAsia" w:ascii="仿宋" w:hAnsi="仿宋" w:eastAsia="仿宋" w:cs="Arial Unicode MS"/>
          <w:bCs/>
          <w:sz w:val="24"/>
        </w:rPr>
        <w:t>附件：（1）中标通知书</w:t>
      </w:r>
    </w:p>
    <w:p w14:paraId="758F5412">
      <w:pPr>
        <w:topLinePunct/>
        <w:spacing w:line="360" w:lineRule="auto"/>
        <w:ind w:firstLine="1587"/>
        <w:jc w:val="left"/>
        <w:rPr>
          <w:rFonts w:hint="eastAsia" w:ascii="仿宋" w:hAnsi="仿宋" w:eastAsia="仿宋" w:cs="Arial Unicode MS"/>
          <w:bCs/>
          <w:sz w:val="24"/>
        </w:rPr>
      </w:pPr>
      <w:r>
        <w:rPr>
          <w:rFonts w:hint="eastAsia" w:ascii="仿宋" w:hAnsi="仿宋" w:eastAsia="仿宋" w:cs="Arial Unicode MS"/>
          <w:bCs/>
          <w:sz w:val="24"/>
        </w:rPr>
        <w:t>（2）产品配置清单</w:t>
      </w:r>
    </w:p>
    <w:p w14:paraId="31F19325">
      <w:pPr>
        <w:topLinePunct/>
        <w:spacing w:line="360" w:lineRule="auto"/>
        <w:ind w:firstLine="1587"/>
        <w:jc w:val="left"/>
        <w:rPr>
          <w:rFonts w:hint="eastAsia" w:ascii="仿宋" w:hAnsi="仿宋" w:eastAsia="仿宋" w:cs="Arial Unicode MS"/>
          <w:bCs/>
          <w:sz w:val="24"/>
        </w:rPr>
      </w:pPr>
      <w:r>
        <w:rPr>
          <w:rFonts w:hint="eastAsia" w:ascii="仿宋" w:hAnsi="仿宋" w:eastAsia="仿宋" w:cs="Arial Unicode MS"/>
          <w:bCs/>
          <w:sz w:val="24"/>
        </w:rPr>
        <w:t>（3）厂家维保承诺函</w:t>
      </w:r>
    </w:p>
    <w:p w14:paraId="03B3EE13">
      <w:pPr>
        <w:tabs>
          <w:tab w:val="left" w:pos="1875"/>
        </w:tabs>
      </w:pPr>
    </w:p>
    <w:p w14:paraId="38155F41">
      <w:pPr>
        <w:topLinePunct/>
        <w:spacing w:line="360" w:lineRule="auto"/>
        <w:ind w:firstLine="480" w:firstLineChars="200"/>
        <w:jc w:val="center"/>
        <w:rPr>
          <w:rFonts w:hint="eastAsia" w:ascii="仿宋" w:hAnsi="仿宋" w:eastAsia="仿宋" w:cs="Arial Unicode MS"/>
          <w:bCs/>
          <w:sz w:val="24"/>
        </w:rPr>
      </w:pPr>
      <w:r>
        <w:rPr>
          <w:rFonts w:hint="eastAsia" w:ascii="仿宋" w:hAnsi="仿宋" w:eastAsia="仿宋" w:cs="Arial Unicode MS"/>
          <w:bCs/>
          <w:sz w:val="24"/>
        </w:rPr>
        <w:t>(本页无正文，为合同签署页)</w:t>
      </w:r>
    </w:p>
    <w:tbl>
      <w:tblPr>
        <w:tblStyle w:val="50"/>
        <w:tblpPr w:leftFromText="180" w:rightFromText="180" w:vertAnchor="text" w:horzAnchor="page" w:tblpX="1725" w:tblpY="472"/>
        <w:tblOverlap w:val="never"/>
        <w:tblW w:w="8925" w:type="dxa"/>
        <w:tblInd w:w="0" w:type="dxa"/>
        <w:tblLayout w:type="fixed"/>
        <w:tblCellMar>
          <w:top w:w="0" w:type="dxa"/>
          <w:left w:w="108" w:type="dxa"/>
          <w:bottom w:w="0" w:type="dxa"/>
          <w:right w:w="108" w:type="dxa"/>
        </w:tblCellMar>
      </w:tblPr>
      <w:tblGrid>
        <w:gridCol w:w="4583"/>
        <w:gridCol w:w="4342"/>
      </w:tblGrid>
      <w:tr w14:paraId="42FF1F54">
        <w:tblPrEx>
          <w:tblCellMar>
            <w:top w:w="0" w:type="dxa"/>
            <w:left w:w="108" w:type="dxa"/>
            <w:bottom w:w="0" w:type="dxa"/>
            <w:right w:w="108" w:type="dxa"/>
          </w:tblCellMar>
        </w:tblPrEx>
        <w:tc>
          <w:tcPr>
            <w:tcW w:w="4582" w:type="dxa"/>
            <w:noWrap/>
            <w:vAlign w:val="top"/>
          </w:tcPr>
          <w:p w14:paraId="67F15546">
            <w:pPr>
              <w:topLinePunct/>
              <w:spacing w:line="360" w:lineRule="auto"/>
              <w:jc w:val="left"/>
              <w:rPr>
                <w:rFonts w:ascii="仿宋" w:hAnsi="仿宋" w:eastAsia="仿宋" w:cs="仿宋"/>
                <w:b/>
                <w:sz w:val="24"/>
                <w:lang w:val="zh-TW" w:eastAsia="zh-TW"/>
              </w:rPr>
            </w:pPr>
            <w:r>
              <w:rPr>
                <w:rFonts w:hint="eastAsia" w:ascii="仿宋" w:hAnsi="仿宋" w:eastAsia="仿宋" w:cs="仿宋"/>
                <w:b/>
                <w:sz w:val="24"/>
                <w:lang w:val="zh-TW"/>
              </w:rPr>
              <w:t>甲方：深圳市宝安区福永人民医院</w:t>
            </w:r>
          </w:p>
          <w:p w14:paraId="687CF353">
            <w:pPr>
              <w:topLinePunct/>
              <w:spacing w:line="360" w:lineRule="auto"/>
              <w:jc w:val="left"/>
              <w:rPr>
                <w:rFonts w:hint="eastAsia" w:ascii="仿宋" w:hAnsi="仿宋" w:eastAsia="仿宋" w:cs="仿宋"/>
                <w:b/>
                <w:sz w:val="24"/>
                <w:lang w:val="zh-TW"/>
              </w:rPr>
            </w:pPr>
            <w:r>
              <w:rPr>
                <w:rFonts w:hint="eastAsia" w:ascii="仿宋" w:hAnsi="仿宋" w:eastAsia="仿宋" w:cs="仿宋"/>
                <w:b/>
                <w:sz w:val="24"/>
                <w:lang w:val="zh-TW"/>
              </w:rPr>
              <w:t>统一社会信用代码：124403064558347657</w:t>
            </w:r>
          </w:p>
          <w:p w14:paraId="6D9E4FF4">
            <w:pPr>
              <w:spacing w:line="360" w:lineRule="auto"/>
              <w:rPr>
                <w:rFonts w:hint="eastAsia" w:ascii="仿宋" w:hAnsi="仿宋" w:eastAsia="仿宋" w:cs="仿宋"/>
                <w:b/>
                <w:sz w:val="24"/>
                <w:lang w:val="zh-TW"/>
              </w:rPr>
            </w:pPr>
            <w:r>
              <w:rPr>
                <w:rFonts w:hint="eastAsia" w:ascii="仿宋" w:hAnsi="仿宋" w:eastAsia="仿宋" w:cs="仿宋"/>
                <w:b/>
                <w:sz w:val="24"/>
                <w:lang w:val="zh-TW" w:eastAsia="zh-TW"/>
              </w:rPr>
              <w:t>法定代表人：王甘露</w:t>
            </w:r>
          </w:p>
          <w:p w14:paraId="3AA5707B">
            <w:pPr>
              <w:spacing w:line="360" w:lineRule="auto"/>
              <w:rPr>
                <w:rFonts w:hint="eastAsia" w:ascii="仿宋" w:hAnsi="仿宋" w:eastAsia="仿宋" w:cs="仿宋"/>
                <w:b/>
                <w:sz w:val="24"/>
                <w:lang w:val="zh-TW"/>
              </w:rPr>
            </w:pPr>
            <w:r>
              <w:rPr>
                <w:rFonts w:hint="eastAsia" w:ascii="仿宋" w:hAnsi="仿宋" w:eastAsia="仿宋" w:cs="仿宋"/>
                <w:b/>
                <w:sz w:val="24"/>
                <w:lang w:val="zh-TW"/>
              </w:rPr>
              <w:t>地址：深圳市宝安区福永街道德丰路81号</w:t>
            </w:r>
          </w:p>
          <w:p w14:paraId="2475843C">
            <w:pPr>
              <w:topLinePunct/>
              <w:spacing w:line="360" w:lineRule="auto"/>
              <w:jc w:val="left"/>
              <w:rPr>
                <w:rFonts w:hint="eastAsia" w:ascii="仿宋" w:hAnsi="仿宋" w:eastAsia="仿宋" w:cs="仿宋"/>
                <w:b/>
                <w:sz w:val="24"/>
                <w:lang w:val="zh-TW" w:eastAsia="zh-TW"/>
              </w:rPr>
            </w:pPr>
            <w:r>
              <w:rPr>
                <w:rFonts w:hint="eastAsia" w:ascii="仿宋" w:hAnsi="仿宋" w:eastAsia="仿宋" w:cs="仿宋"/>
                <w:b/>
                <w:sz w:val="24"/>
                <w:lang w:val="zh-TW"/>
              </w:rPr>
              <w:t>经办人：</w:t>
            </w:r>
          </w:p>
          <w:p w14:paraId="7BB9BB4E">
            <w:pPr>
              <w:topLinePunct/>
              <w:spacing w:line="360" w:lineRule="auto"/>
              <w:jc w:val="left"/>
              <w:rPr>
                <w:rFonts w:ascii="仿宋_GB2312" w:hAnsi="宋体" w:eastAsia="仿宋"/>
                <w:sz w:val="24"/>
              </w:rPr>
            </w:pPr>
            <w:r>
              <w:rPr>
                <w:rFonts w:hint="eastAsia" w:ascii="仿宋" w:hAnsi="仿宋" w:eastAsia="仿宋" w:cs="仿宋"/>
                <w:b/>
                <w:sz w:val="24"/>
                <w:lang w:val="zh-TW"/>
              </w:rPr>
              <w:t>联系电话：0755-27391395-8883</w:t>
            </w:r>
          </w:p>
        </w:tc>
        <w:tc>
          <w:tcPr>
            <w:tcW w:w="4342" w:type="dxa"/>
            <w:noWrap/>
            <w:vAlign w:val="top"/>
          </w:tcPr>
          <w:p w14:paraId="7E08E84D">
            <w:pPr>
              <w:topLinePunct/>
              <w:spacing w:line="360" w:lineRule="auto"/>
              <w:jc w:val="left"/>
              <w:rPr>
                <w:rFonts w:ascii="仿宋" w:hAnsi="仿宋" w:eastAsia="仿宋" w:cs="仿宋"/>
                <w:b/>
                <w:color w:val="FF0000"/>
                <w:sz w:val="24"/>
                <w:lang w:val="zh-TW" w:eastAsia="zh-TW"/>
              </w:rPr>
            </w:pPr>
            <w:r>
              <w:rPr>
                <w:rFonts w:hint="eastAsia" w:ascii="仿宋" w:hAnsi="仿宋" w:eastAsia="仿宋" w:cs="Arial Unicode MS"/>
                <w:b/>
                <w:sz w:val="24"/>
              </w:rPr>
              <w:t>乙方</w:t>
            </w:r>
            <w:r>
              <w:rPr>
                <w:rFonts w:hint="eastAsia" w:ascii="仿宋" w:hAnsi="仿宋" w:eastAsia="仿宋" w:cs="仿宋"/>
                <w:b/>
                <w:sz w:val="24"/>
                <w:lang w:val="zh-TW"/>
              </w:rPr>
              <w:t>：</w:t>
            </w:r>
            <w:r>
              <w:rPr>
                <w:rFonts w:hint="eastAsia" w:ascii="仿宋" w:hAnsi="仿宋" w:eastAsia="仿宋" w:cs="仿宋"/>
                <w:b/>
                <w:color w:val="FF0000"/>
                <w:sz w:val="24"/>
                <w:lang w:val="zh-TW"/>
              </w:rPr>
              <w:t>XXXXXXXXXXXX</w:t>
            </w:r>
          </w:p>
          <w:p w14:paraId="5374535C">
            <w:pPr>
              <w:topLinePunct/>
              <w:spacing w:line="360" w:lineRule="auto"/>
              <w:jc w:val="left"/>
              <w:rPr>
                <w:rFonts w:hint="eastAsia" w:ascii="仿宋" w:hAnsi="仿宋" w:eastAsia="仿宋" w:cs="仿宋"/>
                <w:b/>
                <w:sz w:val="24"/>
                <w:lang w:val="zh-TW" w:eastAsia="zh-TW"/>
              </w:rPr>
            </w:pPr>
            <w:r>
              <w:rPr>
                <w:rFonts w:hint="eastAsia" w:ascii="仿宋" w:hAnsi="仿宋" w:eastAsia="仿宋" w:cs="仿宋"/>
                <w:b/>
                <w:sz w:val="24"/>
                <w:lang w:val="zh-TW"/>
              </w:rPr>
              <w:t>统一社会信用代码：</w:t>
            </w:r>
            <w:r>
              <w:rPr>
                <w:rFonts w:hint="eastAsia" w:ascii="仿宋" w:hAnsi="仿宋" w:eastAsia="仿宋" w:cs="仿宋"/>
                <w:b/>
                <w:color w:val="FF0000"/>
                <w:sz w:val="24"/>
                <w:lang w:val="zh-TW"/>
              </w:rPr>
              <w:t>XXXXXXXXXXXXXX</w:t>
            </w:r>
          </w:p>
          <w:p w14:paraId="17FF80BF">
            <w:pPr>
              <w:spacing w:line="360" w:lineRule="auto"/>
              <w:rPr>
                <w:rFonts w:hint="eastAsia" w:ascii="仿宋" w:hAnsi="仿宋" w:eastAsia="仿宋" w:cs="仿宋"/>
                <w:b/>
                <w:sz w:val="24"/>
                <w:lang w:val="zh-TW" w:eastAsia="zh-TW"/>
              </w:rPr>
            </w:pPr>
            <w:r>
              <w:rPr>
                <w:rFonts w:hint="eastAsia" w:ascii="仿宋" w:hAnsi="仿宋" w:eastAsia="仿宋" w:cs="仿宋"/>
                <w:b/>
                <w:sz w:val="24"/>
                <w:lang w:val="zh-TW" w:eastAsia="zh-TW"/>
              </w:rPr>
              <w:t>法定代表人：</w:t>
            </w:r>
          </w:p>
          <w:p w14:paraId="0984F531">
            <w:pPr>
              <w:spacing w:line="306" w:lineRule="exact"/>
              <w:rPr>
                <w:rFonts w:hint="eastAsia" w:ascii="仿宋" w:hAnsi="仿宋" w:eastAsia="仿宋" w:cs="仿宋"/>
                <w:b/>
                <w:sz w:val="24"/>
                <w:lang w:val="zh-TW" w:eastAsia="zh-TW"/>
              </w:rPr>
            </w:pPr>
            <w:r>
              <w:rPr>
                <w:rFonts w:hint="eastAsia" w:ascii="仿宋" w:hAnsi="仿宋" w:eastAsia="仿宋" w:cs="仿宋"/>
                <w:b/>
                <w:sz w:val="24"/>
                <w:lang w:val="zh-TW" w:eastAsia="zh-TW"/>
              </w:rPr>
              <w:t>地址：</w:t>
            </w:r>
            <w:r>
              <w:rPr>
                <w:rFonts w:hint="eastAsia" w:ascii="仿宋" w:eastAsia="仿宋"/>
                <w:b/>
                <w:color w:val="FF0000"/>
                <w:sz w:val="24"/>
                <w:lang w:eastAsia="zh-TW"/>
              </w:rPr>
              <w:t>XXXXXXXXXXXXXXXXXXX</w:t>
            </w:r>
          </w:p>
          <w:p w14:paraId="5312A593">
            <w:pPr>
              <w:topLinePunct/>
              <w:spacing w:line="360" w:lineRule="auto"/>
              <w:jc w:val="left"/>
              <w:rPr>
                <w:rFonts w:hint="eastAsia" w:ascii="仿宋" w:hAnsi="仿宋" w:eastAsia="仿宋" w:cs="仿宋"/>
                <w:b/>
                <w:sz w:val="24"/>
                <w:lang w:val="zh-TW" w:eastAsia="zh-TW"/>
              </w:rPr>
            </w:pPr>
            <w:r>
              <w:rPr>
                <w:rFonts w:hint="eastAsia" w:ascii="仿宋" w:hAnsi="仿宋" w:eastAsia="仿宋" w:cs="仿宋"/>
                <w:b/>
                <w:sz w:val="24"/>
                <w:lang w:val="zh-TW"/>
              </w:rPr>
              <w:t>经办人：</w:t>
            </w:r>
          </w:p>
          <w:p w14:paraId="20F01BC4">
            <w:pPr>
              <w:tabs>
                <w:tab w:val="left" w:pos="5145"/>
              </w:tabs>
              <w:spacing w:line="360" w:lineRule="auto"/>
              <w:rPr>
                <w:rFonts w:ascii="仿宋_GB2312" w:hAnsi="宋体" w:eastAsia="仿宋_GB2312"/>
                <w:sz w:val="24"/>
              </w:rPr>
            </w:pPr>
            <w:r>
              <w:rPr>
                <w:rFonts w:hint="eastAsia" w:ascii="仿宋" w:hAnsi="仿宋" w:eastAsia="仿宋" w:cs="仿宋"/>
                <w:b/>
                <w:sz w:val="24"/>
                <w:lang w:val="zh-TW"/>
              </w:rPr>
              <w:t>联系电话：</w:t>
            </w:r>
          </w:p>
        </w:tc>
      </w:tr>
    </w:tbl>
    <w:p w14:paraId="3A4E3E14">
      <w:pPr>
        <w:topLinePunct/>
        <w:spacing w:line="360" w:lineRule="auto"/>
        <w:ind w:firstLine="480" w:firstLineChars="200"/>
        <w:jc w:val="center"/>
        <w:rPr>
          <w:rFonts w:hint="eastAsia" w:ascii="仿宋" w:hAnsi="仿宋" w:eastAsia="仿宋" w:cs="Arial Unicode MS"/>
          <w:bCs/>
          <w:sz w:val="24"/>
        </w:rPr>
      </w:pPr>
    </w:p>
    <w:p w14:paraId="26D3F10A">
      <w:pPr>
        <w:tabs>
          <w:tab w:val="left" w:pos="4889"/>
        </w:tabs>
        <w:autoSpaceDE w:val="0"/>
        <w:autoSpaceDN w:val="0"/>
        <w:spacing w:line="360" w:lineRule="auto"/>
        <w:outlineLvl w:val="3"/>
        <w:rPr>
          <w:rFonts w:hint="eastAsia" w:ascii="仿宋" w:hAnsi="仿宋" w:eastAsia="仿宋" w:cs="微软雅黑"/>
          <w:b/>
          <w:bCs/>
          <w:kern w:val="0"/>
          <w:sz w:val="24"/>
          <w:lang w:bidi="zh-CN"/>
        </w:rPr>
      </w:pPr>
      <w:r>
        <w:rPr>
          <w:rFonts w:hint="eastAsia" w:ascii="仿宋" w:hAnsi="仿宋" w:eastAsia="仿宋" w:cs="微软雅黑"/>
          <w:b/>
          <w:bCs/>
          <w:kern w:val="0"/>
          <w:sz w:val="24"/>
          <w:lang w:val="zh-CN" w:bidi="zh-CN"/>
        </w:rPr>
        <w:t>甲方（</w:t>
      </w:r>
      <w:r>
        <w:rPr>
          <w:rFonts w:hint="eastAsia" w:ascii="仿宋" w:hAnsi="仿宋" w:eastAsia="仿宋" w:cs="微软雅黑"/>
          <w:b/>
          <w:bCs/>
          <w:kern w:val="0"/>
          <w:sz w:val="24"/>
          <w:lang w:bidi="zh-CN"/>
        </w:rPr>
        <w:t>盖章</w:t>
      </w:r>
      <w:r>
        <w:rPr>
          <w:rFonts w:hint="eastAsia" w:ascii="仿宋" w:hAnsi="仿宋" w:eastAsia="仿宋" w:cs="微软雅黑"/>
          <w:b/>
          <w:bCs/>
          <w:kern w:val="0"/>
          <w:sz w:val="24"/>
          <w:lang w:val="zh-CN" w:bidi="zh-CN"/>
        </w:rPr>
        <w:t xml:space="preserve">）：                         </w:t>
      </w:r>
      <w:r>
        <w:rPr>
          <w:rFonts w:hint="eastAsia" w:ascii="仿宋" w:hAnsi="仿宋" w:eastAsia="仿宋" w:cs="微软雅黑"/>
          <w:b/>
          <w:bCs/>
          <w:spacing w:val="1"/>
          <w:kern w:val="0"/>
          <w:sz w:val="24"/>
          <w:lang w:val="zh-CN" w:bidi="zh-CN"/>
        </w:rPr>
        <w:t>乙</w:t>
      </w:r>
      <w:r>
        <w:rPr>
          <w:rFonts w:hint="eastAsia" w:ascii="仿宋" w:hAnsi="仿宋" w:eastAsia="仿宋" w:cs="微软雅黑"/>
          <w:b/>
          <w:bCs/>
          <w:kern w:val="0"/>
          <w:sz w:val="24"/>
          <w:lang w:val="zh-CN" w:bidi="zh-CN"/>
        </w:rPr>
        <w:t>方（</w:t>
      </w:r>
      <w:r>
        <w:rPr>
          <w:rFonts w:hint="eastAsia" w:ascii="仿宋" w:hAnsi="仿宋" w:eastAsia="仿宋" w:cs="微软雅黑"/>
          <w:b/>
          <w:bCs/>
          <w:kern w:val="0"/>
          <w:sz w:val="24"/>
          <w:lang w:bidi="zh-CN"/>
        </w:rPr>
        <w:t>盖章</w:t>
      </w:r>
      <w:r>
        <w:rPr>
          <w:rFonts w:hint="eastAsia" w:ascii="仿宋" w:hAnsi="仿宋" w:eastAsia="仿宋" w:cs="微软雅黑"/>
          <w:b/>
          <w:bCs/>
          <w:kern w:val="0"/>
          <w:sz w:val="24"/>
          <w:lang w:val="zh-CN" w:bidi="zh-CN"/>
        </w:rPr>
        <w:t>）：</w:t>
      </w:r>
    </w:p>
    <w:p w14:paraId="3E6C86CF">
      <w:pPr>
        <w:autoSpaceDE w:val="0"/>
        <w:autoSpaceDN w:val="0"/>
        <w:spacing w:line="360" w:lineRule="auto"/>
        <w:rPr>
          <w:rFonts w:hint="eastAsia" w:ascii="仿宋" w:hAnsi="仿宋" w:eastAsia="仿宋" w:cs="宋体"/>
          <w:b/>
          <w:kern w:val="0"/>
          <w:sz w:val="24"/>
          <w:lang w:val="zh-CN" w:bidi="zh-CN"/>
        </w:rPr>
      </w:pPr>
    </w:p>
    <w:p w14:paraId="2F5AE1FC">
      <w:pPr>
        <w:autoSpaceDE w:val="0"/>
        <w:autoSpaceDN w:val="0"/>
        <w:spacing w:line="360" w:lineRule="auto"/>
        <w:rPr>
          <w:rFonts w:hint="eastAsia" w:ascii="仿宋" w:hAnsi="仿宋" w:eastAsia="仿宋" w:cs="宋体"/>
          <w:b/>
          <w:kern w:val="0"/>
          <w:sz w:val="24"/>
          <w:lang w:bidi="zh-CN"/>
        </w:rPr>
      </w:pPr>
      <w:r>
        <w:rPr>
          <w:rFonts w:hint="eastAsia" w:ascii="仿宋" w:hAnsi="仿宋" w:eastAsia="仿宋" w:cs="微软雅黑"/>
          <w:b/>
          <w:bCs/>
          <w:kern w:val="0"/>
          <w:sz w:val="24"/>
          <w:lang w:bidi="zh-CN"/>
        </w:rPr>
        <w:t>法定人代表（签名）：                   法定人代表（签名）：</w:t>
      </w:r>
    </w:p>
    <w:p w14:paraId="0BD74F24">
      <w:pPr>
        <w:autoSpaceDE w:val="0"/>
        <w:autoSpaceDN w:val="0"/>
        <w:spacing w:line="360" w:lineRule="auto"/>
        <w:rPr>
          <w:rFonts w:hint="eastAsia" w:ascii="仿宋" w:hAnsi="仿宋" w:eastAsia="仿宋" w:cs="宋体"/>
          <w:b/>
          <w:kern w:val="0"/>
          <w:sz w:val="24"/>
          <w:lang w:bidi="zh-CN"/>
        </w:rPr>
      </w:pPr>
    </w:p>
    <w:p w14:paraId="218726AD">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r>
        <w:rPr>
          <w:rFonts w:hint="eastAsia" w:ascii="仿宋" w:hAnsi="仿宋" w:eastAsia="仿宋" w:cs="宋体"/>
          <w:b/>
          <w:kern w:val="0"/>
          <w:sz w:val="24"/>
          <w:lang w:val="zh-CN" w:bidi="zh-CN"/>
        </w:rPr>
        <w:t>签订日期：     年   月   日</w:t>
      </w:r>
      <w:r>
        <w:rPr>
          <w:rFonts w:hint="eastAsia" w:ascii="仿宋" w:hAnsi="仿宋" w:eastAsia="仿宋" w:cs="宋体"/>
          <w:b/>
          <w:kern w:val="0"/>
          <w:sz w:val="24"/>
          <w:lang w:bidi="zh-CN"/>
        </w:rPr>
        <w:t xml:space="preserve">            签订</w:t>
      </w:r>
      <w:r>
        <w:rPr>
          <w:rFonts w:hint="eastAsia" w:ascii="仿宋" w:hAnsi="仿宋" w:eastAsia="仿宋" w:cs="宋体"/>
          <w:b/>
          <w:kern w:val="0"/>
          <w:sz w:val="24"/>
          <w:lang w:val="zh-CN" w:bidi="zh-CN"/>
        </w:rPr>
        <w:t>日期：     年   月   日</w:t>
      </w:r>
    </w:p>
    <w:p w14:paraId="3AA33101"/>
    <w:p w14:paraId="6AC8D0B0"/>
    <w:p w14:paraId="4C1FC1DD"/>
    <w:p w14:paraId="7C2AD3C3"/>
    <w:p w14:paraId="76279CBD"/>
    <w:p w14:paraId="46249C52"/>
    <w:p w14:paraId="44645DF5"/>
    <w:p w14:paraId="0132D0DC"/>
    <w:p w14:paraId="204E38BE"/>
    <w:p w14:paraId="3A48F6F4"/>
    <w:p w14:paraId="4C3BD588"/>
    <w:p w14:paraId="7FF14AF9"/>
    <w:p w14:paraId="3E6B4E49"/>
    <w:p w14:paraId="4E16ADE1"/>
    <w:p w14:paraId="4D93AD54"/>
    <w:p w14:paraId="076DD875"/>
    <w:p w14:paraId="1F840904"/>
    <w:p w14:paraId="7CCBE690"/>
    <w:p w14:paraId="27A7EAE5"/>
    <w:p w14:paraId="10CCB831"/>
    <w:p w14:paraId="600B8C1C"/>
    <w:p w14:paraId="580D64DB"/>
    <w:p w14:paraId="267F2FD4"/>
    <w:p w14:paraId="2CF311EA"/>
    <w:p w14:paraId="39440A73"/>
    <w:p w14:paraId="247A8368"/>
    <w:p w14:paraId="2DF9B950"/>
    <w:p w14:paraId="26163FB5"/>
    <w:p w14:paraId="18C78DA2"/>
    <w:p w14:paraId="4D36EF5E"/>
    <w:p w14:paraId="79690CA5"/>
    <w:p w14:paraId="0294F68C"/>
    <w:p w14:paraId="5E4FD715"/>
    <w:p w14:paraId="0ECF823E"/>
    <w:p w14:paraId="187812C5">
      <w:pPr>
        <w:pStyle w:val="2"/>
      </w:pPr>
      <w:bookmarkStart w:id="101" w:name="_Toc135293356"/>
      <w:r>
        <w:rPr>
          <w:rFonts w:hint="eastAsia"/>
        </w:rPr>
        <w:t>第九章  附件</w:t>
      </w:r>
      <w:bookmarkEnd w:id="101"/>
    </w:p>
    <w:p w14:paraId="0FD850FA">
      <w:pPr>
        <w:pStyle w:val="4"/>
        <w:spacing w:before="0" w:after="0"/>
      </w:pPr>
      <w:bookmarkStart w:id="102" w:name="_Toc73610162"/>
      <w:bookmarkStart w:id="103" w:name="_Toc135293357"/>
      <w:bookmarkStart w:id="104" w:name="_Toc73613644"/>
      <w:r>
        <w:rPr>
          <w:rFonts w:hint="eastAsia"/>
        </w:rPr>
        <w:t>一、财政部 工业和信息化部关于印发《政府采购促进中小企业发展管理办法》的通知</w:t>
      </w:r>
      <w:bookmarkEnd w:id="102"/>
      <w:bookmarkEnd w:id="103"/>
      <w:bookmarkEnd w:id="104"/>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5" w:name="_Toc135293358"/>
      <w:bookmarkStart w:id="106" w:name="_Toc73613645"/>
      <w:bookmarkStart w:id="107" w:name="_Toc73610163"/>
      <w:r>
        <w:rPr>
          <w:rFonts w:hint="eastAsia"/>
        </w:rPr>
        <w:t>二、关于印发中小企业划型标准规定的通知</w:t>
      </w:r>
      <w:bookmarkEnd w:id="105"/>
      <w:bookmarkEnd w:id="106"/>
      <w:bookmarkEnd w:id="107"/>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8" w:name="_Toc135293359"/>
      <w:bookmarkStart w:id="109" w:name="_Toc73613646"/>
      <w:bookmarkStart w:id="110" w:name="_Toc73610164"/>
      <w:r>
        <w:rPr>
          <w:rFonts w:hint="eastAsia"/>
        </w:rPr>
        <w:t>三、</w:t>
      </w:r>
      <w:r>
        <w:t>国家统计局关于印发《统计上大中小微型企业划分办法 （2017）》的通知</w:t>
      </w:r>
      <w:bookmarkEnd w:id="108"/>
      <w:bookmarkEnd w:id="109"/>
      <w:bookmarkEnd w:id="110"/>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1" w:name="_Toc135293360"/>
      <w:bookmarkStart w:id="112" w:name="_Toc73613647"/>
      <w:bookmarkStart w:id="113" w:name="_Toc73610165"/>
      <w:r>
        <w:rPr>
          <w:rFonts w:hint="eastAsia"/>
        </w:rPr>
        <w:t>四、</w:t>
      </w:r>
      <w:r>
        <w:t>财政部 民政部 中国残疾人联合会关于促进残疾人就业 政府采购政策的通知</w:t>
      </w:r>
      <w:bookmarkEnd w:id="111"/>
      <w:bookmarkEnd w:id="112"/>
      <w:bookmarkEnd w:id="113"/>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4" w:name="_Toc135293361"/>
      <w:r>
        <w:rPr>
          <w:rFonts w:hint="eastAsia"/>
        </w:rPr>
        <w:t>五、财政部 司法部关于政府采购支持监狱企业发展有关问题的通知</w:t>
      </w:r>
      <w:bookmarkEnd w:id="114"/>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C8945E3">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System">
    <w:altName w:val="宋体"/>
    <w:panose1 w:val="00000000000000000000"/>
    <w:charset w:val="86"/>
    <w:family w:val="auto"/>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福海社区医院购置安装呼叫系统、医气、负压机房装置</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SZZZ2025-QA0169</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C6DD3"/>
    <w:multiLevelType w:val="singleLevel"/>
    <w:tmpl w:val="80FC6DD3"/>
    <w:lvl w:ilvl="0" w:tentative="0">
      <w:start w:val="1"/>
      <w:numFmt w:val="decimal"/>
      <w:suff w:val="nothing"/>
      <w:lvlText w:val="%1、"/>
      <w:lvlJc w:val="left"/>
    </w:lvl>
  </w:abstractNum>
  <w:abstractNum w:abstractNumId="1">
    <w:nsid w:val="88712800"/>
    <w:multiLevelType w:val="singleLevel"/>
    <w:tmpl w:val="88712800"/>
    <w:lvl w:ilvl="0" w:tentative="0">
      <w:start w:val="1"/>
      <w:numFmt w:val="decimal"/>
      <w:lvlText w:val="%1."/>
      <w:lvlJc w:val="left"/>
      <w:pPr>
        <w:ind w:left="425" w:hanging="425"/>
      </w:pPr>
    </w:lvl>
  </w:abstractNum>
  <w:abstractNum w:abstractNumId="2">
    <w:nsid w:val="8C8FEE68"/>
    <w:multiLevelType w:val="singleLevel"/>
    <w:tmpl w:val="8C8FEE68"/>
    <w:lvl w:ilvl="0" w:tentative="0">
      <w:start w:val="1"/>
      <w:numFmt w:val="decimal"/>
      <w:lvlText w:val="%1."/>
      <w:lvlJc w:val="left"/>
      <w:pPr>
        <w:ind w:left="425" w:hanging="425"/>
      </w:pPr>
    </w:lvl>
  </w:abstractNum>
  <w:abstractNum w:abstractNumId="3">
    <w:nsid w:val="93B699BE"/>
    <w:multiLevelType w:val="singleLevel"/>
    <w:tmpl w:val="93B699BE"/>
    <w:lvl w:ilvl="0" w:tentative="0">
      <w:start w:val="8"/>
      <w:numFmt w:val="decimal"/>
      <w:suff w:val="space"/>
      <w:lvlText w:val="%1."/>
      <w:lvlJc w:val="left"/>
    </w:lvl>
  </w:abstractNum>
  <w:abstractNum w:abstractNumId="4">
    <w:nsid w:val="979EBD1A"/>
    <w:multiLevelType w:val="singleLevel"/>
    <w:tmpl w:val="979EBD1A"/>
    <w:lvl w:ilvl="0" w:tentative="0">
      <w:start w:val="5"/>
      <w:numFmt w:val="decimal"/>
      <w:suff w:val="nothing"/>
      <w:lvlText w:val="%1、"/>
      <w:lvlJc w:val="left"/>
    </w:lvl>
  </w:abstractNum>
  <w:abstractNum w:abstractNumId="5">
    <w:nsid w:val="A41FA2B2"/>
    <w:multiLevelType w:val="singleLevel"/>
    <w:tmpl w:val="A41FA2B2"/>
    <w:lvl w:ilvl="0" w:tentative="0">
      <w:start w:val="1"/>
      <w:numFmt w:val="decimal"/>
      <w:suff w:val="space"/>
      <w:lvlText w:val="%1."/>
      <w:lvlJc w:val="left"/>
    </w:lvl>
  </w:abstractNum>
  <w:abstractNum w:abstractNumId="6">
    <w:nsid w:val="A5A26E5E"/>
    <w:multiLevelType w:val="singleLevel"/>
    <w:tmpl w:val="A5A26E5E"/>
    <w:lvl w:ilvl="0" w:tentative="0">
      <w:start w:val="2"/>
      <w:numFmt w:val="decimal"/>
      <w:suff w:val="nothing"/>
      <w:lvlText w:val="%1、"/>
      <w:lvlJc w:val="left"/>
    </w:lvl>
  </w:abstractNum>
  <w:abstractNum w:abstractNumId="7">
    <w:nsid w:val="AD57ACBB"/>
    <w:multiLevelType w:val="singleLevel"/>
    <w:tmpl w:val="AD57ACBB"/>
    <w:lvl w:ilvl="0" w:tentative="0">
      <w:start w:val="1"/>
      <w:numFmt w:val="decimal"/>
      <w:suff w:val="space"/>
      <w:lvlText w:val="%1."/>
      <w:lvlJc w:val="left"/>
    </w:lvl>
  </w:abstractNum>
  <w:abstractNum w:abstractNumId="8">
    <w:nsid w:val="AF847119"/>
    <w:multiLevelType w:val="singleLevel"/>
    <w:tmpl w:val="AF847119"/>
    <w:lvl w:ilvl="0" w:tentative="0">
      <w:start w:val="2"/>
      <w:numFmt w:val="decimal"/>
      <w:suff w:val="space"/>
      <w:lvlText w:val="%1."/>
      <w:lvlJc w:val="left"/>
    </w:lvl>
  </w:abstractNum>
  <w:abstractNum w:abstractNumId="9">
    <w:nsid w:val="C57F0639"/>
    <w:multiLevelType w:val="singleLevel"/>
    <w:tmpl w:val="C57F0639"/>
    <w:lvl w:ilvl="0" w:tentative="0">
      <w:start w:val="1"/>
      <w:numFmt w:val="decimal"/>
      <w:suff w:val="space"/>
      <w:lvlText w:val="%1."/>
      <w:lvlJc w:val="left"/>
    </w:lvl>
  </w:abstractNum>
  <w:abstractNum w:abstractNumId="10">
    <w:nsid w:val="CEC73A86"/>
    <w:multiLevelType w:val="singleLevel"/>
    <w:tmpl w:val="CEC73A86"/>
    <w:lvl w:ilvl="0" w:tentative="0">
      <w:start w:val="1"/>
      <w:numFmt w:val="decimal"/>
      <w:lvlText w:val="%1."/>
      <w:lvlJc w:val="left"/>
      <w:pPr>
        <w:tabs>
          <w:tab w:val="left" w:pos="312"/>
        </w:tabs>
        <w:ind w:left="0" w:firstLine="0"/>
      </w:pPr>
    </w:lvl>
  </w:abstractNum>
  <w:abstractNum w:abstractNumId="11">
    <w:nsid w:val="CEDF2D9B"/>
    <w:multiLevelType w:val="singleLevel"/>
    <w:tmpl w:val="CEDF2D9B"/>
    <w:lvl w:ilvl="0" w:tentative="0">
      <w:start w:val="1"/>
      <w:numFmt w:val="decimal"/>
      <w:suff w:val="nothing"/>
      <w:lvlText w:val="（%1）"/>
      <w:lvlJc w:val="left"/>
      <w:pPr>
        <w:ind w:left="0" w:firstLine="0"/>
      </w:pPr>
    </w:lvl>
  </w:abstractNum>
  <w:abstractNum w:abstractNumId="12">
    <w:nsid w:val="D084DF77"/>
    <w:multiLevelType w:val="singleLevel"/>
    <w:tmpl w:val="D084DF77"/>
    <w:lvl w:ilvl="0" w:tentative="0">
      <w:start w:val="2"/>
      <w:numFmt w:val="decimal"/>
      <w:lvlText w:val="%1."/>
      <w:lvlJc w:val="left"/>
      <w:pPr>
        <w:tabs>
          <w:tab w:val="left" w:pos="312"/>
        </w:tabs>
      </w:pPr>
    </w:lvl>
  </w:abstractNum>
  <w:abstractNum w:abstractNumId="13">
    <w:nsid w:val="D9ECAA57"/>
    <w:multiLevelType w:val="singleLevel"/>
    <w:tmpl w:val="D9ECAA57"/>
    <w:lvl w:ilvl="0" w:tentative="0">
      <w:start w:val="1"/>
      <w:numFmt w:val="decimal"/>
      <w:suff w:val="space"/>
      <w:lvlText w:val="%1."/>
      <w:lvlJc w:val="left"/>
    </w:lvl>
  </w:abstractNum>
  <w:abstractNum w:abstractNumId="14">
    <w:nsid w:val="DDCD1AF9"/>
    <w:multiLevelType w:val="singleLevel"/>
    <w:tmpl w:val="DDCD1AF9"/>
    <w:lvl w:ilvl="0" w:tentative="0">
      <w:start w:val="1"/>
      <w:numFmt w:val="decimal"/>
      <w:lvlText w:val="%1."/>
      <w:lvlJc w:val="left"/>
      <w:pPr>
        <w:ind w:left="425" w:hanging="425"/>
      </w:pPr>
    </w:lvl>
  </w:abstractNum>
  <w:abstractNum w:abstractNumId="15">
    <w:nsid w:val="E7D76518"/>
    <w:multiLevelType w:val="singleLevel"/>
    <w:tmpl w:val="E7D76518"/>
    <w:lvl w:ilvl="0" w:tentative="0">
      <w:start w:val="1"/>
      <w:numFmt w:val="decimal"/>
      <w:lvlText w:val="%1."/>
      <w:lvlJc w:val="left"/>
      <w:pPr>
        <w:tabs>
          <w:tab w:val="left" w:pos="312"/>
        </w:tabs>
        <w:ind w:left="0" w:firstLine="0"/>
      </w:pPr>
    </w:lvl>
  </w:abstractNum>
  <w:abstractNum w:abstractNumId="16">
    <w:nsid w:val="F5F5FECA"/>
    <w:multiLevelType w:val="singleLevel"/>
    <w:tmpl w:val="F5F5FECA"/>
    <w:lvl w:ilvl="0" w:tentative="0">
      <w:start w:val="1"/>
      <w:numFmt w:val="decimal"/>
      <w:suff w:val="nothing"/>
      <w:lvlText w:val="（%1）"/>
      <w:lvlJc w:val="left"/>
      <w:pPr>
        <w:ind w:left="0" w:firstLine="0"/>
      </w:pPr>
    </w:lvl>
  </w:abstractNum>
  <w:abstractNum w:abstractNumId="17">
    <w:nsid w:val="FF3FEDFA"/>
    <w:multiLevelType w:val="singleLevel"/>
    <w:tmpl w:val="FF3FEDFA"/>
    <w:lvl w:ilvl="0" w:tentative="0">
      <w:start w:val="7"/>
      <w:numFmt w:val="decimal"/>
      <w:suff w:val="space"/>
      <w:lvlText w:val="%1."/>
      <w:lvlJc w:val="left"/>
    </w:lvl>
  </w:abstractNum>
  <w:abstractNum w:abstractNumId="18">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9">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12577D53"/>
    <w:multiLevelType w:val="singleLevel"/>
    <w:tmpl w:val="12577D53"/>
    <w:lvl w:ilvl="0" w:tentative="0">
      <w:start w:val="3"/>
      <w:numFmt w:val="decimal"/>
      <w:suff w:val="space"/>
      <w:lvlText w:val="%1."/>
      <w:lvlJc w:val="left"/>
    </w:lvl>
  </w:abstractNum>
  <w:abstractNum w:abstractNumId="22">
    <w:nsid w:val="224155F2"/>
    <w:multiLevelType w:val="singleLevel"/>
    <w:tmpl w:val="224155F2"/>
    <w:lvl w:ilvl="0" w:tentative="0">
      <w:start w:val="1"/>
      <w:numFmt w:val="chineseCounting"/>
      <w:suff w:val="space"/>
      <w:lvlText w:val="第%1条"/>
      <w:lvlJc w:val="left"/>
      <w:pPr>
        <w:ind w:left="0" w:firstLine="0"/>
      </w:pPr>
      <w:rPr>
        <w:b/>
        <w:bCs/>
      </w:rPr>
    </w:lvl>
  </w:abstractNum>
  <w:abstractNum w:abstractNumId="23">
    <w:nsid w:val="2393743C"/>
    <w:multiLevelType w:val="singleLevel"/>
    <w:tmpl w:val="2393743C"/>
    <w:lvl w:ilvl="0" w:tentative="0">
      <w:start w:val="1"/>
      <w:numFmt w:val="decimal"/>
      <w:lvlText w:val="%1."/>
      <w:lvlJc w:val="left"/>
      <w:pPr>
        <w:tabs>
          <w:tab w:val="left" w:pos="312"/>
        </w:tabs>
        <w:ind w:left="0" w:firstLine="0"/>
      </w:pPr>
    </w:lvl>
  </w:abstractNum>
  <w:abstractNum w:abstractNumId="24">
    <w:nsid w:val="26222DC6"/>
    <w:multiLevelType w:val="singleLevel"/>
    <w:tmpl w:val="26222DC6"/>
    <w:lvl w:ilvl="0" w:tentative="0">
      <w:start w:val="2"/>
      <w:numFmt w:val="chineseCounting"/>
      <w:suff w:val="nothing"/>
      <w:lvlText w:val="%1、"/>
      <w:lvlJc w:val="left"/>
      <w:rPr>
        <w:rFonts w:hint="eastAsia"/>
      </w:rPr>
    </w:lvl>
  </w:abstractNum>
  <w:abstractNum w:abstractNumId="25">
    <w:nsid w:val="29B6E955"/>
    <w:multiLevelType w:val="singleLevel"/>
    <w:tmpl w:val="29B6E955"/>
    <w:lvl w:ilvl="0" w:tentative="0">
      <w:start w:val="6"/>
      <w:numFmt w:val="decimal"/>
      <w:suff w:val="space"/>
      <w:lvlText w:val="%1."/>
      <w:lvlJc w:val="left"/>
    </w:lvl>
  </w:abstractNum>
  <w:abstractNum w:abstractNumId="26">
    <w:nsid w:val="3CE1ADF3"/>
    <w:multiLevelType w:val="singleLevel"/>
    <w:tmpl w:val="3CE1ADF3"/>
    <w:lvl w:ilvl="0" w:tentative="0">
      <w:start w:val="10"/>
      <w:numFmt w:val="decimal"/>
      <w:suff w:val="space"/>
      <w:lvlText w:val="%1."/>
      <w:lvlJc w:val="left"/>
    </w:lvl>
  </w:abstractNum>
  <w:abstractNum w:abstractNumId="27">
    <w:nsid w:val="40AF2D0F"/>
    <w:multiLevelType w:val="singleLevel"/>
    <w:tmpl w:val="40AF2D0F"/>
    <w:lvl w:ilvl="0" w:tentative="0">
      <w:start w:val="2"/>
      <w:numFmt w:val="decimal"/>
      <w:suff w:val="space"/>
      <w:lvlText w:val="%1."/>
      <w:lvlJc w:val="left"/>
    </w:lvl>
  </w:abstractNum>
  <w:abstractNum w:abstractNumId="28">
    <w:nsid w:val="41C0F570"/>
    <w:multiLevelType w:val="singleLevel"/>
    <w:tmpl w:val="41C0F570"/>
    <w:lvl w:ilvl="0" w:tentative="0">
      <w:start w:val="1"/>
      <w:numFmt w:val="decimal"/>
      <w:lvlText w:val="%1."/>
      <w:lvlJc w:val="left"/>
      <w:pPr>
        <w:tabs>
          <w:tab w:val="left" w:pos="312"/>
        </w:tabs>
        <w:ind w:left="0" w:firstLine="0"/>
      </w:pPr>
    </w:lvl>
  </w:abstractNum>
  <w:abstractNum w:abstractNumId="29">
    <w:nsid w:val="48F05C63"/>
    <w:multiLevelType w:val="singleLevel"/>
    <w:tmpl w:val="48F05C63"/>
    <w:lvl w:ilvl="0" w:tentative="0">
      <w:start w:val="1"/>
      <w:numFmt w:val="decimal"/>
      <w:suff w:val="space"/>
      <w:lvlText w:val="%1."/>
      <w:lvlJc w:val="left"/>
    </w:lvl>
  </w:abstractNum>
  <w:abstractNum w:abstractNumId="30">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1">
    <w:nsid w:val="5CF0D277"/>
    <w:multiLevelType w:val="singleLevel"/>
    <w:tmpl w:val="5CF0D277"/>
    <w:lvl w:ilvl="0" w:tentative="0">
      <w:start w:val="5"/>
      <w:numFmt w:val="decimal"/>
      <w:suff w:val="space"/>
      <w:lvlText w:val="%1."/>
      <w:lvlJc w:val="left"/>
    </w:lvl>
  </w:abstractNum>
  <w:abstractNum w:abstractNumId="32">
    <w:nsid w:val="64E23C72"/>
    <w:multiLevelType w:val="singleLevel"/>
    <w:tmpl w:val="64E23C72"/>
    <w:lvl w:ilvl="0" w:tentative="0">
      <w:start w:val="4"/>
      <w:numFmt w:val="decimal"/>
      <w:suff w:val="space"/>
      <w:lvlText w:val="%1."/>
      <w:lvlJc w:val="left"/>
    </w:lvl>
  </w:abstractNum>
  <w:abstractNum w:abstractNumId="33">
    <w:nsid w:val="6A05F945"/>
    <w:multiLevelType w:val="singleLevel"/>
    <w:tmpl w:val="6A05F945"/>
    <w:lvl w:ilvl="0" w:tentative="0">
      <w:start w:val="1"/>
      <w:numFmt w:val="decimal"/>
      <w:suff w:val="nothing"/>
      <w:lvlText w:val="%1."/>
      <w:lvlJc w:val="left"/>
      <w:pPr>
        <w:ind w:left="0" w:firstLine="403"/>
      </w:pPr>
      <w:rPr>
        <w:b w:val="0"/>
        <w:bCs w:val="0"/>
      </w:rPr>
    </w:lvl>
  </w:abstractNum>
  <w:abstractNum w:abstractNumId="34">
    <w:nsid w:val="735F5227"/>
    <w:multiLevelType w:val="singleLevel"/>
    <w:tmpl w:val="735F5227"/>
    <w:lvl w:ilvl="0" w:tentative="0">
      <w:start w:val="1"/>
      <w:numFmt w:val="decimal"/>
      <w:lvlText w:val="%1."/>
      <w:lvlJc w:val="left"/>
      <w:pPr>
        <w:tabs>
          <w:tab w:val="left" w:pos="312"/>
        </w:tabs>
        <w:ind w:left="0" w:firstLine="0"/>
      </w:pPr>
    </w:lvl>
  </w:abstractNum>
  <w:abstractNum w:abstractNumId="35">
    <w:nsid w:val="77BBB407"/>
    <w:multiLevelType w:val="singleLevel"/>
    <w:tmpl w:val="77BBB407"/>
    <w:lvl w:ilvl="0" w:tentative="0">
      <w:start w:val="9"/>
      <w:numFmt w:val="decimal"/>
      <w:suff w:val="space"/>
      <w:lvlText w:val="%1."/>
      <w:lvlJc w:val="left"/>
    </w:lvl>
  </w:abstractNum>
  <w:num w:numId="1">
    <w:abstractNumId w:val="18"/>
  </w:num>
  <w:num w:numId="2">
    <w:abstractNumId w:val="20"/>
  </w:num>
  <w:num w:numId="3">
    <w:abstractNumId w:val="19"/>
  </w:num>
  <w:num w:numId="4">
    <w:abstractNumId w:val="24"/>
  </w:num>
  <w:num w:numId="5">
    <w:abstractNumId w:val="6"/>
  </w:num>
  <w:num w:numId="6">
    <w:abstractNumId w:val="5"/>
  </w:num>
  <w:num w:numId="7">
    <w:abstractNumId w:val="27"/>
  </w:num>
  <w:num w:numId="8">
    <w:abstractNumId w:val="21"/>
  </w:num>
  <w:num w:numId="9">
    <w:abstractNumId w:val="32"/>
  </w:num>
  <w:num w:numId="10">
    <w:abstractNumId w:val="31"/>
  </w:num>
  <w:num w:numId="11">
    <w:abstractNumId w:val="25"/>
  </w:num>
  <w:num w:numId="12">
    <w:abstractNumId w:val="17"/>
  </w:num>
  <w:num w:numId="13">
    <w:abstractNumId w:val="3"/>
  </w:num>
  <w:num w:numId="14">
    <w:abstractNumId w:val="35"/>
  </w:num>
  <w:num w:numId="15">
    <w:abstractNumId w:val="9"/>
  </w:num>
  <w:num w:numId="16">
    <w:abstractNumId w:val="8"/>
  </w:num>
  <w:num w:numId="17">
    <w:abstractNumId w:val="26"/>
  </w:num>
  <w:num w:numId="18">
    <w:abstractNumId w:val="13"/>
  </w:num>
  <w:num w:numId="19">
    <w:abstractNumId w:val="7"/>
  </w:num>
  <w:num w:numId="20">
    <w:abstractNumId w:val="29"/>
  </w:num>
  <w:num w:numId="21">
    <w:abstractNumId w:val="0"/>
  </w:num>
  <w:num w:numId="22">
    <w:abstractNumId w:val="30"/>
  </w:num>
  <w:num w:numId="23">
    <w:abstractNumId w:val="12"/>
  </w:num>
  <w:num w:numId="24">
    <w:abstractNumId w:val="4"/>
  </w:num>
  <w:num w:numId="25">
    <w:abstractNumId w:val="22"/>
    <w:lvlOverride w:ilvl="0">
      <w:startOverride w:val="1"/>
    </w:lvlOverride>
  </w:num>
  <w:num w:numId="26">
    <w:abstractNumId w:val="2"/>
    <w:lvlOverride w:ilvl="0">
      <w:startOverride w:val="1"/>
    </w:lvlOverride>
  </w:num>
  <w:num w:numId="27">
    <w:abstractNumId w:val="10"/>
    <w:lvlOverride w:ilvl="0">
      <w:startOverride w:val="1"/>
    </w:lvlOverride>
  </w:num>
  <w:num w:numId="28">
    <w:abstractNumId w:val="1"/>
    <w:lvlOverride w:ilvl="0">
      <w:startOverride w:val="1"/>
    </w:lvlOverride>
  </w:num>
  <w:num w:numId="29">
    <w:abstractNumId w:val="16"/>
    <w:lvlOverride w:ilvl="0">
      <w:startOverride w:val="1"/>
    </w:lvlOverride>
  </w:num>
  <w:num w:numId="30">
    <w:abstractNumId w:val="15"/>
    <w:lvlOverride w:ilvl="0">
      <w:startOverride w:val="1"/>
    </w:lvlOverride>
  </w:num>
  <w:num w:numId="31">
    <w:abstractNumId w:val="11"/>
    <w:lvlOverride w:ilvl="0">
      <w:startOverride w:val="1"/>
    </w:lvlOverride>
  </w:num>
  <w:num w:numId="32">
    <w:abstractNumId w:val="11"/>
    <w:lvlOverride w:ilvl="0">
      <w:startOverride w:val="1"/>
    </w:lvlOverride>
  </w:num>
  <w:num w:numId="33">
    <w:abstractNumId w:val="15"/>
    <w:lvlOverride w:ilvl="0">
      <w:startOverride w:val="1"/>
    </w:lvlOverride>
  </w:num>
  <w:num w:numId="34">
    <w:abstractNumId w:val="22"/>
  </w:num>
  <w:num w:numId="35">
    <w:abstractNumId w:val="28"/>
    <w:lvlOverride w:ilvl="0">
      <w:startOverride w:val="1"/>
    </w:lvlOverride>
  </w:num>
  <w:num w:numId="36">
    <w:abstractNumId w:val="34"/>
    <w:lvlOverride w:ilvl="0">
      <w:startOverride w:val="1"/>
    </w:lvlOverride>
  </w:num>
  <w:num w:numId="37">
    <w:abstractNumId w:val="14"/>
    <w:lvlOverride w:ilvl="0">
      <w:startOverride w:val="1"/>
    </w:lvlOverride>
  </w:num>
  <w:num w:numId="38">
    <w:abstractNumId w:val="33"/>
    <w:lvlOverride w:ilvl="0">
      <w:startOverride w:val="1"/>
    </w:lvlOverride>
  </w:num>
  <w:num w:numId="39">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36673EF"/>
    <w:rsid w:val="03B206B2"/>
    <w:rsid w:val="03C5231B"/>
    <w:rsid w:val="041D095D"/>
    <w:rsid w:val="059A3767"/>
    <w:rsid w:val="05C018BB"/>
    <w:rsid w:val="05C87DB9"/>
    <w:rsid w:val="0647171C"/>
    <w:rsid w:val="065754CA"/>
    <w:rsid w:val="07C531B9"/>
    <w:rsid w:val="07EC4BEA"/>
    <w:rsid w:val="08013603"/>
    <w:rsid w:val="08DE0889"/>
    <w:rsid w:val="0961739E"/>
    <w:rsid w:val="098E6083"/>
    <w:rsid w:val="0AB84641"/>
    <w:rsid w:val="0B205B2B"/>
    <w:rsid w:val="0B782559"/>
    <w:rsid w:val="0B8A1F62"/>
    <w:rsid w:val="0BBF77AA"/>
    <w:rsid w:val="0BF820F3"/>
    <w:rsid w:val="0C000225"/>
    <w:rsid w:val="0D566BC9"/>
    <w:rsid w:val="0E180322"/>
    <w:rsid w:val="0E8C4995"/>
    <w:rsid w:val="0EF27BFB"/>
    <w:rsid w:val="0F4E08F5"/>
    <w:rsid w:val="0F676546"/>
    <w:rsid w:val="0F691730"/>
    <w:rsid w:val="0FBC50EF"/>
    <w:rsid w:val="115F3FD7"/>
    <w:rsid w:val="11A259DD"/>
    <w:rsid w:val="11F936CD"/>
    <w:rsid w:val="120027E5"/>
    <w:rsid w:val="120474A0"/>
    <w:rsid w:val="12693A35"/>
    <w:rsid w:val="13102ABE"/>
    <w:rsid w:val="14196AC8"/>
    <w:rsid w:val="14C0017C"/>
    <w:rsid w:val="162063B0"/>
    <w:rsid w:val="167D280D"/>
    <w:rsid w:val="17047766"/>
    <w:rsid w:val="17771FF6"/>
    <w:rsid w:val="17935895"/>
    <w:rsid w:val="17D7209D"/>
    <w:rsid w:val="17F52C18"/>
    <w:rsid w:val="184530EF"/>
    <w:rsid w:val="19227A4B"/>
    <w:rsid w:val="1A201BA7"/>
    <w:rsid w:val="1A32142F"/>
    <w:rsid w:val="1B3E182A"/>
    <w:rsid w:val="1B4B5195"/>
    <w:rsid w:val="1C0826B8"/>
    <w:rsid w:val="1C174C6F"/>
    <w:rsid w:val="1C7C020D"/>
    <w:rsid w:val="1C8F78BA"/>
    <w:rsid w:val="1C9B0D84"/>
    <w:rsid w:val="1CDD3F3B"/>
    <w:rsid w:val="1D4D6869"/>
    <w:rsid w:val="1E3F2E81"/>
    <w:rsid w:val="21760101"/>
    <w:rsid w:val="22B25284"/>
    <w:rsid w:val="22C07D9F"/>
    <w:rsid w:val="22CE4518"/>
    <w:rsid w:val="23056CBA"/>
    <w:rsid w:val="234C1E42"/>
    <w:rsid w:val="23636EA1"/>
    <w:rsid w:val="23C6059E"/>
    <w:rsid w:val="23C95079"/>
    <w:rsid w:val="24031A53"/>
    <w:rsid w:val="24307C26"/>
    <w:rsid w:val="248E5D4C"/>
    <w:rsid w:val="24C47897"/>
    <w:rsid w:val="24CF6320"/>
    <w:rsid w:val="24E337F8"/>
    <w:rsid w:val="256E0C8A"/>
    <w:rsid w:val="258D3B57"/>
    <w:rsid w:val="261E01AA"/>
    <w:rsid w:val="262336EE"/>
    <w:rsid w:val="269E4C0C"/>
    <w:rsid w:val="27024D1A"/>
    <w:rsid w:val="27463B6A"/>
    <w:rsid w:val="29A41135"/>
    <w:rsid w:val="2AD85037"/>
    <w:rsid w:val="2B25203D"/>
    <w:rsid w:val="2BD0253B"/>
    <w:rsid w:val="2C444480"/>
    <w:rsid w:val="2C564DC3"/>
    <w:rsid w:val="2CA9220C"/>
    <w:rsid w:val="2D142E8B"/>
    <w:rsid w:val="2D6C141D"/>
    <w:rsid w:val="2DA973AD"/>
    <w:rsid w:val="2E4470AA"/>
    <w:rsid w:val="2EB64B4B"/>
    <w:rsid w:val="2EDB590A"/>
    <w:rsid w:val="2F0A29E3"/>
    <w:rsid w:val="2F697D8F"/>
    <w:rsid w:val="306B5DA3"/>
    <w:rsid w:val="30817D6A"/>
    <w:rsid w:val="31367970"/>
    <w:rsid w:val="3157114E"/>
    <w:rsid w:val="31EB07E1"/>
    <w:rsid w:val="31F2037F"/>
    <w:rsid w:val="320A0AF5"/>
    <w:rsid w:val="329B11F6"/>
    <w:rsid w:val="336E087E"/>
    <w:rsid w:val="33C3087D"/>
    <w:rsid w:val="34EB0D54"/>
    <w:rsid w:val="35961B12"/>
    <w:rsid w:val="359C5D0B"/>
    <w:rsid w:val="364523AD"/>
    <w:rsid w:val="36700D38"/>
    <w:rsid w:val="36C4673D"/>
    <w:rsid w:val="37741632"/>
    <w:rsid w:val="37B10B63"/>
    <w:rsid w:val="37D17C49"/>
    <w:rsid w:val="388F766F"/>
    <w:rsid w:val="390721D7"/>
    <w:rsid w:val="393B510C"/>
    <w:rsid w:val="393F4767"/>
    <w:rsid w:val="39A97E97"/>
    <w:rsid w:val="39BF365D"/>
    <w:rsid w:val="3A260C29"/>
    <w:rsid w:val="3B57268D"/>
    <w:rsid w:val="3B6176CE"/>
    <w:rsid w:val="3BD24DDA"/>
    <w:rsid w:val="3BDC1949"/>
    <w:rsid w:val="3BF9504C"/>
    <w:rsid w:val="3C8D362E"/>
    <w:rsid w:val="3CF11603"/>
    <w:rsid w:val="3D6F4D41"/>
    <w:rsid w:val="3D7507FB"/>
    <w:rsid w:val="3E7E6CCF"/>
    <w:rsid w:val="3EB5127A"/>
    <w:rsid w:val="3F503E5E"/>
    <w:rsid w:val="3FC16214"/>
    <w:rsid w:val="41045A2C"/>
    <w:rsid w:val="41576FF8"/>
    <w:rsid w:val="41D9164E"/>
    <w:rsid w:val="41DD521D"/>
    <w:rsid w:val="423B7022"/>
    <w:rsid w:val="4389060E"/>
    <w:rsid w:val="43C8028A"/>
    <w:rsid w:val="43D51667"/>
    <w:rsid w:val="43DA2D47"/>
    <w:rsid w:val="443B2C25"/>
    <w:rsid w:val="44811914"/>
    <w:rsid w:val="448421F1"/>
    <w:rsid w:val="45D37D9B"/>
    <w:rsid w:val="46896F24"/>
    <w:rsid w:val="48194FD5"/>
    <w:rsid w:val="484514CB"/>
    <w:rsid w:val="48516103"/>
    <w:rsid w:val="48C86EE1"/>
    <w:rsid w:val="49E4277D"/>
    <w:rsid w:val="49FA6EF8"/>
    <w:rsid w:val="4A234CD8"/>
    <w:rsid w:val="4A784961"/>
    <w:rsid w:val="4ABD2E7A"/>
    <w:rsid w:val="4ACF3A3C"/>
    <w:rsid w:val="4AD62F03"/>
    <w:rsid w:val="4B1700DF"/>
    <w:rsid w:val="4B3C4946"/>
    <w:rsid w:val="4C242C3D"/>
    <w:rsid w:val="4C4030C5"/>
    <w:rsid w:val="4D7D581F"/>
    <w:rsid w:val="4F0F6A19"/>
    <w:rsid w:val="5016090C"/>
    <w:rsid w:val="503126A7"/>
    <w:rsid w:val="5151526B"/>
    <w:rsid w:val="51D10A66"/>
    <w:rsid w:val="528A390F"/>
    <w:rsid w:val="528C6991"/>
    <w:rsid w:val="536743D0"/>
    <w:rsid w:val="54054633"/>
    <w:rsid w:val="540605E4"/>
    <w:rsid w:val="54431BED"/>
    <w:rsid w:val="54670726"/>
    <w:rsid w:val="547F0032"/>
    <w:rsid w:val="54A02A20"/>
    <w:rsid w:val="55C87B3E"/>
    <w:rsid w:val="56804F1E"/>
    <w:rsid w:val="582964DE"/>
    <w:rsid w:val="58604D9A"/>
    <w:rsid w:val="58D67D8C"/>
    <w:rsid w:val="58E10577"/>
    <w:rsid w:val="59165EF7"/>
    <w:rsid w:val="59702A12"/>
    <w:rsid w:val="5AC11BEA"/>
    <w:rsid w:val="5AED2A9C"/>
    <w:rsid w:val="5BC746C9"/>
    <w:rsid w:val="5C2B6EE8"/>
    <w:rsid w:val="5CC61F72"/>
    <w:rsid w:val="5CF10C74"/>
    <w:rsid w:val="5CF206F7"/>
    <w:rsid w:val="5E0B3D5F"/>
    <w:rsid w:val="5E6415B9"/>
    <w:rsid w:val="5EA0340D"/>
    <w:rsid w:val="5ED66C3C"/>
    <w:rsid w:val="5F8F25F5"/>
    <w:rsid w:val="5FDD643B"/>
    <w:rsid w:val="607532DC"/>
    <w:rsid w:val="60BA3E42"/>
    <w:rsid w:val="6194383B"/>
    <w:rsid w:val="61A14A39"/>
    <w:rsid w:val="61CB5375"/>
    <w:rsid w:val="623348CA"/>
    <w:rsid w:val="62511574"/>
    <w:rsid w:val="64191A38"/>
    <w:rsid w:val="65CA685B"/>
    <w:rsid w:val="65CF34A7"/>
    <w:rsid w:val="65F660EF"/>
    <w:rsid w:val="6673798C"/>
    <w:rsid w:val="673905B6"/>
    <w:rsid w:val="67CF1F44"/>
    <w:rsid w:val="681C3942"/>
    <w:rsid w:val="68460AAC"/>
    <w:rsid w:val="68AC1CFE"/>
    <w:rsid w:val="68E4579B"/>
    <w:rsid w:val="69C754B6"/>
    <w:rsid w:val="6A7F580E"/>
    <w:rsid w:val="6B5F32A5"/>
    <w:rsid w:val="6BCD1DE6"/>
    <w:rsid w:val="6C434E84"/>
    <w:rsid w:val="6C505023"/>
    <w:rsid w:val="6D14299F"/>
    <w:rsid w:val="6D36104E"/>
    <w:rsid w:val="6D672A1E"/>
    <w:rsid w:val="6DC237D1"/>
    <w:rsid w:val="6F1479F1"/>
    <w:rsid w:val="6F3B3713"/>
    <w:rsid w:val="6F40725E"/>
    <w:rsid w:val="711172CF"/>
    <w:rsid w:val="71166CCD"/>
    <w:rsid w:val="71FD54DD"/>
    <w:rsid w:val="72025180"/>
    <w:rsid w:val="72D64389"/>
    <w:rsid w:val="73855BD1"/>
    <w:rsid w:val="7410294D"/>
    <w:rsid w:val="741F3809"/>
    <w:rsid w:val="745C4EE4"/>
    <w:rsid w:val="74892C48"/>
    <w:rsid w:val="757B0F93"/>
    <w:rsid w:val="7589009F"/>
    <w:rsid w:val="75CC648C"/>
    <w:rsid w:val="75E25B0A"/>
    <w:rsid w:val="761F3676"/>
    <w:rsid w:val="76D71644"/>
    <w:rsid w:val="76F45B53"/>
    <w:rsid w:val="771B43E0"/>
    <w:rsid w:val="776C2FB6"/>
    <w:rsid w:val="77741C69"/>
    <w:rsid w:val="77FD1636"/>
    <w:rsid w:val="780D6D66"/>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102"/>
    <customShpInfo spid="_x0000_s3103"/>
    <customShpInfo spid="_x0000_s3101"/>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98</Pages>
  <Words>7219</Words>
  <Characters>7737</Characters>
  <Lines>483</Lines>
  <Paragraphs>136</Paragraphs>
  <TotalTime>8</TotalTime>
  <ScaleCrop>false</ScaleCrop>
  <LinksUpToDate>false</LinksUpToDate>
  <CharactersWithSpaces>7886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2025-09-18T12:03:00Z</cp:lastPrinted>
  <dcterms:modified xsi:type="dcterms:W3CDTF">2025-09-25T01:57:32Z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6A6C1E1828F04A5CACD946AD466EC4A4</vt:lpwstr>
  </property>
  <property fmtid="{D5CDD505-2E9C-101B-9397-08002B2CF9AE}" pid="4" name="KSOTemplateDocerSaveRecord">
    <vt:lpwstr>eyJoZGlkIjoiY2FkNzhjOTRiYTFjZGFkODk1NGVjZmFjOTg4ODM4ZjUiLCJ1c2VySWQiOiI0NTA5MTc1MTkifQ==</vt:lpwstr>
  </property>
</Properties>
</file>